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0AA392" w14:textId="7C21F696" w:rsidR="00FB1395" w:rsidRPr="00FB1395" w:rsidRDefault="00FB1395" w:rsidP="00520867">
      <w:pPr>
        <w:suppressLineNumbers/>
        <w:spacing w:line="240" w:lineRule="auto"/>
        <w:jc w:val="center"/>
        <w:rPr>
          <w:b/>
          <w:sz w:val="22"/>
          <w:szCs w:val="22"/>
        </w:rPr>
      </w:pPr>
      <w:r>
        <w:rPr>
          <w:b/>
          <w:sz w:val="22"/>
          <w:szCs w:val="22"/>
        </w:rPr>
        <w:t>SOAH DOCKET NO. 473-20-4709.WS</w:t>
      </w:r>
      <w:bookmarkStart w:id="0" w:name="_GoBack"/>
      <w:bookmarkEnd w:id="0"/>
    </w:p>
    <w:p w14:paraId="21C82D5C" w14:textId="3919E8F4" w:rsidR="002E7350" w:rsidRPr="00436265" w:rsidRDefault="002E7350" w:rsidP="00520867">
      <w:pPr>
        <w:suppressLineNumbers/>
        <w:spacing w:line="240" w:lineRule="auto"/>
        <w:jc w:val="center"/>
        <w:rPr>
          <w:b/>
          <w:sz w:val="22"/>
          <w:szCs w:val="22"/>
        </w:rPr>
      </w:pPr>
      <w:r w:rsidRPr="00436265">
        <w:rPr>
          <w:b/>
          <w:sz w:val="22"/>
          <w:szCs w:val="22"/>
        </w:rPr>
        <w:t xml:space="preserve">PUC DOCKET NO. </w:t>
      </w:r>
      <w:r w:rsidR="00FB1395">
        <w:rPr>
          <w:b/>
          <w:sz w:val="22"/>
          <w:szCs w:val="22"/>
        </w:rPr>
        <w:t>50944</w:t>
      </w:r>
    </w:p>
    <w:p w14:paraId="1780F6CB" w14:textId="77777777" w:rsidR="00560ABF" w:rsidRPr="00436265" w:rsidRDefault="00560ABF" w:rsidP="00520867">
      <w:pPr>
        <w:suppressLineNumbers/>
        <w:spacing w:line="240" w:lineRule="auto"/>
        <w:jc w:val="center"/>
        <w:rPr>
          <w:b/>
          <w:sz w:val="22"/>
          <w:szCs w:val="22"/>
        </w:rPr>
      </w:pPr>
    </w:p>
    <w:tbl>
      <w:tblPr>
        <w:tblW w:w="10080" w:type="dxa"/>
        <w:jc w:val="center"/>
        <w:tblLook w:val="01E0" w:firstRow="1" w:lastRow="1" w:firstColumn="1" w:lastColumn="1" w:noHBand="0" w:noVBand="0"/>
      </w:tblPr>
      <w:tblGrid>
        <w:gridCol w:w="4680"/>
        <w:gridCol w:w="720"/>
        <w:gridCol w:w="4680"/>
      </w:tblGrid>
      <w:tr w:rsidR="0088747B" w:rsidRPr="00C11352" w14:paraId="70D77AFF" w14:textId="77777777" w:rsidTr="00A77850">
        <w:trPr>
          <w:trHeight w:val="1440"/>
          <w:jc w:val="center"/>
        </w:trPr>
        <w:tc>
          <w:tcPr>
            <w:tcW w:w="4680" w:type="dxa"/>
          </w:tcPr>
          <w:p w14:paraId="3BA43857" w14:textId="77777777" w:rsidR="0088747B" w:rsidRPr="0088747B" w:rsidRDefault="0088747B" w:rsidP="0088747B">
            <w:pPr>
              <w:spacing w:line="240" w:lineRule="auto"/>
              <w:rPr>
                <w:rFonts w:ascii="Times New Roman Bold" w:eastAsia="Times New Roman" w:hAnsi="Times New Roman Bold"/>
                <w:b/>
                <w:bCs/>
                <w:caps/>
              </w:rPr>
            </w:pPr>
            <w:r w:rsidRPr="0088747B">
              <w:rPr>
                <w:rFonts w:eastAsia="Times New Roman"/>
                <w:b/>
                <w:bCs/>
              </w:rPr>
              <w:t>APPLICATION OF MONARCH UTILITIES I, L.P. FOR AUTHORITY TO CHANGE RATES</w:t>
            </w:r>
          </w:p>
        </w:tc>
        <w:tc>
          <w:tcPr>
            <w:tcW w:w="720" w:type="dxa"/>
          </w:tcPr>
          <w:p w14:paraId="26122737" w14:textId="77777777" w:rsidR="0088747B" w:rsidRPr="0088747B" w:rsidRDefault="0088747B" w:rsidP="0088747B">
            <w:pPr>
              <w:spacing w:line="240" w:lineRule="auto"/>
              <w:jc w:val="center"/>
              <w:rPr>
                <w:rFonts w:eastAsia="Times New Roman"/>
                <w:b/>
              </w:rPr>
            </w:pPr>
            <w:r w:rsidRPr="0088747B">
              <w:rPr>
                <w:rFonts w:eastAsia="Times New Roman"/>
                <w:b/>
              </w:rPr>
              <w:t>§</w:t>
            </w:r>
          </w:p>
          <w:p w14:paraId="21773902" w14:textId="77777777" w:rsidR="0088747B" w:rsidRPr="0088747B" w:rsidRDefault="0088747B" w:rsidP="0088747B">
            <w:pPr>
              <w:spacing w:line="240" w:lineRule="auto"/>
              <w:jc w:val="center"/>
              <w:rPr>
                <w:rFonts w:eastAsia="Times New Roman"/>
                <w:b/>
              </w:rPr>
            </w:pPr>
            <w:r w:rsidRPr="0088747B">
              <w:rPr>
                <w:rFonts w:eastAsia="Times New Roman"/>
                <w:b/>
              </w:rPr>
              <w:t>§</w:t>
            </w:r>
          </w:p>
          <w:p w14:paraId="75D2B4E6" w14:textId="77777777" w:rsidR="0088747B" w:rsidRPr="0088747B" w:rsidRDefault="0088747B" w:rsidP="0088747B">
            <w:pPr>
              <w:spacing w:line="240" w:lineRule="auto"/>
              <w:jc w:val="center"/>
              <w:rPr>
                <w:rFonts w:eastAsia="Times New Roman"/>
                <w:b/>
              </w:rPr>
            </w:pPr>
            <w:r w:rsidRPr="0088747B">
              <w:rPr>
                <w:rFonts w:eastAsia="Times New Roman"/>
                <w:b/>
              </w:rPr>
              <w:t>§</w:t>
            </w:r>
          </w:p>
          <w:p w14:paraId="2F72DE15" w14:textId="77777777" w:rsidR="0088747B" w:rsidRPr="0088747B" w:rsidRDefault="0088747B" w:rsidP="0088747B">
            <w:pPr>
              <w:spacing w:line="240" w:lineRule="auto"/>
              <w:jc w:val="center"/>
              <w:rPr>
                <w:rFonts w:eastAsia="Times New Roman"/>
                <w:b/>
              </w:rPr>
            </w:pPr>
          </w:p>
        </w:tc>
        <w:tc>
          <w:tcPr>
            <w:tcW w:w="4680" w:type="dxa"/>
          </w:tcPr>
          <w:p w14:paraId="64BE8F4A" w14:textId="77777777" w:rsidR="0088747B" w:rsidRPr="008F4648" w:rsidRDefault="0088747B" w:rsidP="0088747B">
            <w:pPr>
              <w:keepNext/>
              <w:widowControl/>
              <w:tabs>
                <w:tab w:val="center" w:pos="4770"/>
                <w:tab w:val="left" w:pos="5400"/>
              </w:tabs>
              <w:autoSpaceDE/>
              <w:autoSpaceDN/>
              <w:adjustRightInd/>
              <w:spacing w:line="240" w:lineRule="auto"/>
              <w:jc w:val="center"/>
              <w:rPr>
                <w:rFonts w:eastAsia="Times New Roman"/>
                <w:b/>
                <w:bCs/>
                <w:caps/>
                <w:szCs w:val="20"/>
              </w:rPr>
            </w:pPr>
            <w:r w:rsidRPr="008F4648">
              <w:rPr>
                <w:rFonts w:eastAsia="Times New Roman"/>
                <w:b/>
                <w:bCs/>
                <w:caps/>
                <w:szCs w:val="20"/>
              </w:rPr>
              <w:t>BEFORE THE STATE OFFICE</w:t>
            </w:r>
          </w:p>
          <w:p w14:paraId="7D8BE48B" w14:textId="77777777" w:rsidR="0088747B" w:rsidRPr="008F4648" w:rsidRDefault="0088747B" w:rsidP="0088747B">
            <w:pPr>
              <w:keepNext/>
              <w:widowControl/>
              <w:tabs>
                <w:tab w:val="center" w:pos="4770"/>
                <w:tab w:val="left" w:pos="5400"/>
              </w:tabs>
              <w:autoSpaceDE/>
              <w:autoSpaceDN/>
              <w:adjustRightInd/>
              <w:spacing w:line="240" w:lineRule="auto"/>
              <w:jc w:val="center"/>
              <w:rPr>
                <w:rFonts w:eastAsia="Times New Roman"/>
                <w:b/>
                <w:bCs/>
                <w:caps/>
                <w:szCs w:val="20"/>
              </w:rPr>
            </w:pPr>
            <w:r w:rsidRPr="008F4648">
              <w:rPr>
                <w:rFonts w:eastAsia="Times New Roman"/>
                <w:b/>
                <w:bCs/>
                <w:caps/>
                <w:szCs w:val="20"/>
              </w:rPr>
              <w:t>OF</w:t>
            </w:r>
          </w:p>
          <w:p w14:paraId="7ACBA074" w14:textId="77777777" w:rsidR="0088747B" w:rsidRPr="00C11352" w:rsidRDefault="0088747B" w:rsidP="0088747B">
            <w:pPr>
              <w:keepNext/>
              <w:widowControl/>
              <w:tabs>
                <w:tab w:val="center" w:pos="4770"/>
                <w:tab w:val="left" w:pos="5400"/>
              </w:tabs>
              <w:autoSpaceDE/>
              <w:autoSpaceDN/>
              <w:adjustRightInd/>
              <w:spacing w:line="240" w:lineRule="auto"/>
              <w:jc w:val="center"/>
              <w:rPr>
                <w:rFonts w:eastAsia="Times New Roman"/>
                <w:b/>
                <w:bCs/>
                <w:caps/>
                <w:szCs w:val="20"/>
                <w:highlight w:val="yellow"/>
              </w:rPr>
            </w:pPr>
            <w:r w:rsidRPr="008F4648">
              <w:rPr>
                <w:rFonts w:eastAsia="Times New Roman"/>
                <w:b/>
                <w:bCs/>
                <w:caps/>
                <w:szCs w:val="20"/>
              </w:rPr>
              <w:t>ADMINISTRATIVE HEARINGS</w:t>
            </w:r>
          </w:p>
        </w:tc>
      </w:tr>
    </w:tbl>
    <w:p w14:paraId="49889174" w14:textId="77777777" w:rsidR="00560ABF" w:rsidRPr="00436265" w:rsidRDefault="00560ABF" w:rsidP="00520867">
      <w:pPr>
        <w:suppressLineNumbers/>
        <w:spacing w:line="240" w:lineRule="auto"/>
        <w:jc w:val="center"/>
        <w:rPr>
          <w:sz w:val="22"/>
          <w:szCs w:val="22"/>
          <w:highlight w:val="yellow"/>
        </w:rPr>
        <w:sectPr w:rsidR="00560ABF" w:rsidRPr="00436265" w:rsidSect="0043384F">
          <w:headerReference w:type="default" r:id="rId8"/>
          <w:footerReference w:type="default" r:id="rId9"/>
          <w:pgSz w:w="12240" w:h="15840" w:code="1"/>
          <w:pgMar w:top="1440" w:right="1440" w:bottom="1440" w:left="1440" w:header="0" w:footer="360" w:gutter="0"/>
          <w:cols w:space="720"/>
          <w:titlePg/>
          <w:docGrid w:linePitch="326"/>
        </w:sectPr>
      </w:pPr>
    </w:p>
    <w:p w14:paraId="61A1B5EB" w14:textId="77777777" w:rsidR="00562BA4" w:rsidRPr="00C12C13" w:rsidRDefault="00562BA4" w:rsidP="0043384F">
      <w:pPr>
        <w:suppressLineNumbers/>
        <w:tabs>
          <w:tab w:val="left" w:pos="3510"/>
        </w:tabs>
        <w:spacing w:line="240" w:lineRule="auto"/>
        <w:rPr>
          <w:sz w:val="22"/>
          <w:szCs w:val="22"/>
        </w:rPr>
        <w:sectPr w:rsidR="00562BA4" w:rsidRPr="00C12C13" w:rsidSect="00B97ABA">
          <w:headerReference w:type="default" r:id="rId10"/>
          <w:type w:val="continuous"/>
          <w:pgSz w:w="12240" w:h="15840" w:code="1"/>
          <w:pgMar w:top="1440" w:right="1440" w:bottom="1440" w:left="1440" w:header="1440" w:footer="360" w:gutter="0"/>
          <w:cols w:num="3" w:space="720" w:equalWidth="0">
            <w:col w:w="4410" w:space="90"/>
            <w:col w:w="450" w:space="90"/>
            <w:col w:w="3366"/>
          </w:cols>
          <w:docGrid w:linePitch="326"/>
        </w:sectPr>
      </w:pPr>
    </w:p>
    <w:p w14:paraId="13CCE864" w14:textId="77777777" w:rsidR="00B97ABA" w:rsidRPr="00C12C13" w:rsidRDefault="00B97ABA" w:rsidP="00520867">
      <w:pPr>
        <w:suppressLineNumbers/>
        <w:spacing w:line="240" w:lineRule="auto"/>
        <w:jc w:val="center"/>
        <w:rPr>
          <w:b/>
          <w:bCs/>
          <w:sz w:val="22"/>
          <w:szCs w:val="22"/>
        </w:rPr>
      </w:pPr>
      <w:r w:rsidRPr="00C12C13">
        <w:rPr>
          <w:noProof/>
          <w:sz w:val="22"/>
          <w:szCs w:val="22"/>
        </w:rPr>
        <w:drawing>
          <wp:inline distT="0" distB="0" distL="0" distR="0" wp14:anchorId="2B1043FD" wp14:editId="2A0D197A">
            <wp:extent cx="4317244" cy="39624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1371" cy="3975366"/>
                    </a:xfrm>
                    <a:prstGeom prst="rect">
                      <a:avLst/>
                    </a:prstGeom>
                    <a:noFill/>
                    <a:ln>
                      <a:noFill/>
                    </a:ln>
                  </pic:spPr>
                </pic:pic>
              </a:graphicData>
            </a:graphic>
          </wp:inline>
        </w:drawing>
      </w:r>
    </w:p>
    <w:p w14:paraId="36FC0D02" w14:textId="68E3FCBB" w:rsidR="00560ABF" w:rsidRDefault="00560ABF" w:rsidP="0043384F">
      <w:pPr>
        <w:suppressLineNumbers/>
        <w:spacing w:line="240" w:lineRule="auto"/>
        <w:rPr>
          <w:b/>
          <w:bCs/>
        </w:rPr>
      </w:pPr>
    </w:p>
    <w:p w14:paraId="0D638327" w14:textId="47A8F5A9" w:rsidR="0043384F" w:rsidRDefault="0043384F" w:rsidP="0043384F">
      <w:pPr>
        <w:suppressLineNumbers/>
        <w:spacing w:line="240" w:lineRule="auto"/>
        <w:rPr>
          <w:b/>
          <w:bCs/>
        </w:rPr>
      </w:pPr>
    </w:p>
    <w:p w14:paraId="37E53760" w14:textId="6F49C612" w:rsidR="0043384F" w:rsidRDefault="0043384F" w:rsidP="0043384F">
      <w:pPr>
        <w:suppressLineNumbers/>
        <w:spacing w:line="240" w:lineRule="auto"/>
        <w:rPr>
          <w:b/>
          <w:bCs/>
        </w:rPr>
      </w:pPr>
    </w:p>
    <w:p w14:paraId="7C4091AD" w14:textId="5421A4D7" w:rsidR="0043384F" w:rsidRDefault="0043384F" w:rsidP="0043384F">
      <w:pPr>
        <w:suppressLineNumbers/>
        <w:spacing w:line="240" w:lineRule="auto"/>
        <w:rPr>
          <w:b/>
          <w:bCs/>
        </w:rPr>
      </w:pPr>
    </w:p>
    <w:p w14:paraId="29BDA3D9" w14:textId="77777777" w:rsidR="0043384F" w:rsidRPr="0043384F" w:rsidRDefault="0043384F" w:rsidP="0043384F">
      <w:pPr>
        <w:suppressLineNumbers/>
        <w:spacing w:line="240" w:lineRule="auto"/>
        <w:rPr>
          <w:b/>
          <w:bCs/>
        </w:rPr>
      </w:pPr>
    </w:p>
    <w:p w14:paraId="7D683C8A" w14:textId="6B4DFF2B" w:rsidR="00562BA4" w:rsidRPr="00C12C13" w:rsidRDefault="00562BA4" w:rsidP="0043384F">
      <w:pPr>
        <w:suppressLineNumbers/>
        <w:spacing w:line="240" w:lineRule="auto"/>
        <w:jc w:val="center"/>
        <w:rPr>
          <w:b/>
          <w:bCs/>
          <w:sz w:val="22"/>
          <w:szCs w:val="22"/>
        </w:rPr>
      </w:pPr>
      <w:r w:rsidRPr="00C12C13">
        <w:rPr>
          <w:b/>
          <w:bCs/>
          <w:sz w:val="22"/>
          <w:szCs w:val="22"/>
        </w:rPr>
        <w:t>DIRECT TESTIMONY OF</w:t>
      </w:r>
      <w:r w:rsidR="0043384F">
        <w:rPr>
          <w:b/>
          <w:bCs/>
          <w:sz w:val="22"/>
          <w:szCs w:val="22"/>
        </w:rPr>
        <w:t xml:space="preserve"> </w:t>
      </w:r>
      <w:r w:rsidR="00623116" w:rsidRPr="00C12C13">
        <w:rPr>
          <w:b/>
          <w:bCs/>
          <w:sz w:val="22"/>
          <w:szCs w:val="22"/>
        </w:rPr>
        <w:t>EMILY SEARS</w:t>
      </w:r>
    </w:p>
    <w:p w14:paraId="22E775C4" w14:textId="23AF5839" w:rsidR="00562BA4" w:rsidRPr="00C12C13" w:rsidRDefault="00B4251B" w:rsidP="00520867">
      <w:pPr>
        <w:suppressLineNumbers/>
        <w:spacing w:line="240" w:lineRule="auto"/>
        <w:jc w:val="center"/>
        <w:rPr>
          <w:b/>
          <w:bCs/>
          <w:sz w:val="22"/>
          <w:szCs w:val="22"/>
        </w:rPr>
      </w:pPr>
      <w:r>
        <w:rPr>
          <w:b/>
          <w:bCs/>
          <w:sz w:val="22"/>
          <w:szCs w:val="22"/>
        </w:rPr>
        <w:t>RATE</w:t>
      </w:r>
      <w:r w:rsidR="00562BA4" w:rsidRPr="00C12C13">
        <w:rPr>
          <w:b/>
          <w:bCs/>
          <w:sz w:val="22"/>
          <w:szCs w:val="22"/>
        </w:rPr>
        <w:t xml:space="preserve"> </w:t>
      </w:r>
      <w:r w:rsidR="00CD6441">
        <w:rPr>
          <w:b/>
          <w:bCs/>
          <w:sz w:val="22"/>
          <w:szCs w:val="22"/>
        </w:rPr>
        <w:t>REGULATION</w:t>
      </w:r>
      <w:r w:rsidR="0043384F">
        <w:rPr>
          <w:b/>
          <w:bCs/>
          <w:sz w:val="22"/>
          <w:szCs w:val="22"/>
        </w:rPr>
        <w:t xml:space="preserve"> DIVISION</w:t>
      </w:r>
    </w:p>
    <w:p w14:paraId="249DAEF4" w14:textId="77777777" w:rsidR="00562BA4" w:rsidRPr="00E839F1" w:rsidRDefault="00562BA4" w:rsidP="00520867">
      <w:pPr>
        <w:suppressLineNumbers/>
        <w:spacing w:line="240" w:lineRule="auto"/>
        <w:jc w:val="center"/>
        <w:rPr>
          <w:b/>
          <w:bCs/>
          <w:sz w:val="22"/>
          <w:szCs w:val="22"/>
        </w:rPr>
      </w:pPr>
      <w:r w:rsidRPr="00C12C13">
        <w:rPr>
          <w:b/>
          <w:bCs/>
          <w:sz w:val="22"/>
          <w:szCs w:val="22"/>
        </w:rPr>
        <w:t>PUBLIC UT</w:t>
      </w:r>
      <w:r w:rsidR="00CD6441">
        <w:rPr>
          <w:b/>
          <w:bCs/>
          <w:sz w:val="22"/>
          <w:szCs w:val="22"/>
        </w:rPr>
        <w:t>I</w:t>
      </w:r>
      <w:r w:rsidRPr="00C12C13">
        <w:rPr>
          <w:b/>
          <w:bCs/>
          <w:sz w:val="22"/>
          <w:szCs w:val="22"/>
        </w:rPr>
        <w:t xml:space="preserve">LITY COMMISSION OF </w:t>
      </w:r>
      <w:r w:rsidRPr="00E839F1">
        <w:rPr>
          <w:b/>
          <w:bCs/>
          <w:sz w:val="22"/>
          <w:szCs w:val="22"/>
        </w:rPr>
        <w:t>TEXAS</w:t>
      </w:r>
    </w:p>
    <w:p w14:paraId="504D9CCF" w14:textId="2AFA7CA7" w:rsidR="0043384F" w:rsidRDefault="00E839F1" w:rsidP="0043384F">
      <w:pPr>
        <w:suppressLineNumbers/>
        <w:spacing w:line="240" w:lineRule="auto"/>
        <w:jc w:val="center"/>
        <w:rPr>
          <w:b/>
          <w:bCs/>
          <w:sz w:val="22"/>
          <w:szCs w:val="22"/>
        </w:rPr>
      </w:pPr>
      <w:r w:rsidRPr="00E839F1">
        <w:rPr>
          <w:b/>
          <w:bCs/>
          <w:sz w:val="22"/>
          <w:szCs w:val="22"/>
        </w:rPr>
        <w:t>OCTOBER 2</w:t>
      </w:r>
      <w:r w:rsidR="00DF4775">
        <w:rPr>
          <w:b/>
          <w:bCs/>
          <w:sz w:val="22"/>
          <w:szCs w:val="22"/>
        </w:rPr>
        <w:t>7</w:t>
      </w:r>
      <w:r w:rsidRPr="00E839F1">
        <w:rPr>
          <w:b/>
          <w:bCs/>
          <w:sz w:val="22"/>
          <w:szCs w:val="22"/>
        </w:rPr>
        <w:t>, 2020</w:t>
      </w:r>
    </w:p>
    <w:p w14:paraId="668CD56D" w14:textId="77777777" w:rsidR="0043384F" w:rsidRDefault="0043384F">
      <w:pPr>
        <w:widowControl/>
        <w:autoSpaceDE/>
        <w:autoSpaceDN/>
        <w:adjustRightInd/>
        <w:spacing w:after="200" w:line="276" w:lineRule="auto"/>
        <w:rPr>
          <w:b/>
          <w:bCs/>
          <w:sz w:val="22"/>
          <w:szCs w:val="22"/>
        </w:rPr>
      </w:pPr>
      <w:r>
        <w:rPr>
          <w:b/>
          <w:bCs/>
          <w:sz w:val="22"/>
          <w:szCs w:val="22"/>
        </w:rPr>
        <w:br w:type="page"/>
      </w:r>
    </w:p>
    <w:p w14:paraId="7406265C" w14:textId="77777777" w:rsidR="0043384F" w:rsidRPr="0043384F" w:rsidRDefault="0043384F" w:rsidP="0043384F">
      <w:pPr>
        <w:suppressLineNumbers/>
        <w:spacing w:line="240" w:lineRule="auto"/>
        <w:jc w:val="center"/>
        <w:rPr>
          <w:b/>
          <w:bCs/>
          <w:sz w:val="22"/>
          <w:szCs w:val="22"/>
        </w:rPr>
        <w:sectPr w:rsidR="0043384F" w:rsidRPr="0043384F" w:rsidSect="00B97ABA">
          <w:type w:val="continuous"/>
          <w:pgSz w:w="12240" w:h="15840" w:code="1"/>
          <w:pgMar w:top="1440" w:right="1440" w:bottom="1440" w:left="1440" w:header="1440" w:footer="360" w:gutter="0"/>
          <w:cols w:space="90"/>
          <w:docGrid w:linePitch="326"/>
        </w:sectPr>
      </w:pPr>
    </w:p>
    <w:sdt>
      <w:sdtPr>
        <w:rPr>
          <w:rFonts w:ascii="Times New Roman" w:eastAsiaTheme="minorEastAsia" w:hAnsi="Times New Roman" w:cs="Times New Roman"/>
          <w:b w:val="0"/>
          <w:bCs w:val="0"/>
          <w:color w:val="auto"/>
          <w:sz w:val="24"/>
          <w:szCs w:val="24"/>
          <w:lang w:eastAsia="en-US"/>
        </w:rPr>
        <w:id w:val="1089727088"/>
        <w:docPartObj>
          <w:docPartGallery w:val="Table of Contents"/>
          <w:docPartUnique/>
        </w:docPartObj>
      </w:sdtPr>
      <w:sdtEndPr>
        <w:rPr>
          <w:noProof/>
        </w:rPr>
      </w:sdtEndPr>
      <w:sdtContent>
        <w:p w14:paraId="27514FA4" w14:textId="77777777" w:rsidR="0043384F" w:rsidRDefault="0043384F" w:rsidP="0043384F">
          <w:pPr>
            <w:pStyle w:val="TOCHeading"/>
            <w:numPr>
              <w:ilvl w:val="0"/>
              <w:numId w:val="0"/>
            </w:numPr>
            <w:suppressLineNumbers/>
            <w:spacing w:before="0" w:line="240" w:lineRule="auto"/>
            <w:jc w:val="center"/>
            <w:rPr>
              <w:rFonts w:ascii="Times New Roman" w:eastAsiaTheme="minorEastAsia" w:hAnsi="Times New Roman" w:cs="Times New Roman"/>
              <w:b w:val="0"/>
              <w:bCs w:val="0"/>
              <w:color w:val="auto"/>
              <w:sz w:val="24"/>
              <w:szCs w:val="24"/>
              <w:lang w:eastAsia="en-US"/>
            </w:rPr>
          </w:pPr>
        </w:p>
        <w:p w14:paraId="49635A78" w14:textId="77777777" w:rsidR="0043384F" w:rsidRDefault="0043384F" w:rsidP="0043384F">
          <w:pPr>
            <w:pStyle w:val="TOCHeading"/>
            <w:numPr>
              <w:ilvl w:val="0"/>
              <w:numId w:val="0"/>
            </w:numPr>
            <w:suppressLineNumbers/>
            <w:spacing w:before="0" w:line="240" w:lineRule="auto"/>
            <w:jc w:val="center"/>
            <w:rPr>
              <w:rFonts w:ascii="Times New Roman" w:eastAsiaTheme="minorEastAsia" w:hAnsi="Times New Roman" w:cs="Times New Roman"/>
              <w:b w:val="0"/>
              <w:bCs w:val="0"/>
              <w:color w:val="auto"/>
              <w:sz w:val="24"/>
              <w:szCs w:val="24"/>
              <w:lang w:eastAsia="en-US"/>
            </w:rPr>
          </w:pPr>
        </w:p>
        <w:p w14:paraId="7BFAEF54" w14:textId="23AE3F21" w:rsidR="0043384F" w:rsidRDefault="0043384F" w:rsidP="0043384F">
          <w:pPr>
            <w:pStyle w:val="TOCHeading"/>
            <w:numPr>
              <w:ilvl w:val="0"/>
              <w:numId w:val="0"/>
            </w:numPr>
            <w:suppressLineNumbers/>
            <w:spacing w:before="0" w:line="240" w:lineRule="auto"/>
            <w:jc w:val="center"/>
            <w:rPr>
              <w:rFonts w:ascii="Times New Roman" w:hAnsi="Times New Roman" w:cs="Times New Roman"/>
              <w:color w:val="auto"/>
            </w:rPr>
          </w:pPr>
          <w:r>
            <w:rPr>
              <w:rFonts w:ascii="Times New Roman" w:hAnsi="Times New Roman" w:cs="Times New Roman"/>
              <w:color w:val="auto"/>
            </w:rPr>
            <w:t>TABLE OF CONTENTS</w:t>
          </w:r>
        </w:p>
        <w:p w14:paraId="6EB889E3" w14:textId="77777777" w:rsidR="0043384F" w:rsidRPr="0043384F" w:rsidRDefault="0043384F" w:rsidP="0043384F">
          <w:pPr>
            <w:suppressLineNumbers/>
            <w:spacing w:line="240" w:lineRule="auto"/>
            <w:rPr>
              <w:lang w:eastAsia="ja-JP"/>
            </w:rPr>
          </w:pPr>
        </w:p>
        <w:p w14:paraId="33321B8A" w14:textId="361B6510" w:rsidR="00DD252A" w:rsidRDefault="005B29FB" w:rsidP="00DD252A">
          <w:pPr>
            <w:pStyle w:val="TOC1"/>
            <w:rPr>
              <w:rFonts w:asciiTheme="minorHAnsi" w:hAnsiTheme="minorHAnsi" w:cstheme="minorBidi"/>
              <w:noProof/>
              <w:sz w:val="22"/>
              <w:szCs w:val="22"/>
            </w:rPr>
          </w:pPr>
          <w:r>
            <w:fldChar w:fldCharType="begin"/>
          </w:r>
          <w:r>
            <w:instrText xml:space="preserve"> TOC \o "1-3" \h \z \u </w:instrText>
          </w:r>
          <w:r>
            <w:fldChar w:fldCharType="separate"/>
          </w:r>
          <w:hyperlink w:anchor="_Toc54606357" w:history="1">
            <w:r w:rsidR="00DD252A" w:rsidRPr="009F226A">
              <w:rPr>
                <w:rStyle w:val="Hyperlink"/>
                <w:noProof/>
              </w:rPr>
              <w:t>I.</w:t>
            </w:r>
            <w:r w:rsidR="00DD252A">
              <w:rPr>
                <w:rFonts w:asciiTheme="minorHAnsi" w:hAnsiTheme="minorHAnsi" w:cstheme="minorBidi"/>
                <w:noProof/>
                <w:sz w:val="22"/>
                <w:szCs w:val="22"/>
              </w:rPr>
              <w:tab/>
            </w:r>
            <w:r w:rsidR="00DD252A" w:rsidRPr="009F226A">
              <w:rPr>
                <w:rStyle w:val="Hyperlink"/>
                <w:noProof/>
              </w:rPr>
              <w:t>INTRODUCTION OF WITNESS</w:t>
            </w:r>
            <w:r w:rsidR="00DD252A">
              <w:rPr>
                <w:noProof/>
                <w:webHidden/>
              </w:rPr>
              <w:tab/>
            </w:r>
            <w:r w:rsidR="00DD252A">
              <w:rPr>
                <w:noProof/>
                <w:webHidden/>
              </w:rPr>
              <w:fldChar w:fldCharType="begin"/>
            </w:r>
            <w:r w:rsidR="00DD252A">
              <w:rPr>
                <w:noProof/>
                <w:webHidden/>
              </w:rPr>
              <w:instrText xml:space="preserve"> PAGEREF _Toc54606357 \h </w:instrText>
            </w:r>
            <w:r w:rsidR="00DD252A">
              <w:rPr>
                <w:noProof/>
                <w:webHidden/>
              </w:rPr>
            </w:r>
            <w:r w:rsidR="00DD252A">
              <w:rPr>
                <w:noProof/>
                <w:webHidden/>
              </w:rPr>
              <w:fldChar w:fldCharType="separate"/>
            </w:r>
            <w:r w:rsidR="00605D7C">
              <w:rPr>
                <w:noProof/>
                <w:webHidden/>
              </w:rPr>
              <w:t>3</w:t>
            </w:r>
            <w:r w:rsidR="00DD252A">
              <w:rPr>
                <w:noProof/>
                <w:webHidden/>
              </w:rPr>
              <w:fldChar w:fldCharType="end"/>
            </w:r>
          </w:hyperlink>
        </w:p>
        <w:p w14:paraId="24575B8B" w14:textId="77BE5337" w:rsidR="00DD252A" w:rsidRDefault="008F4648" w:rsidP="00DD252A">
          <w:pPr>
            <w:pStyle w:val="TOC1"/>
            <w:rPr>
              <w:rFonts w:asciiTheme="minorHAnsi" w:hAnsiTheme="minorHAnsi" w:cstheme="minorBidi"/>
              <w:noProof/>
              <w:sz w:val="22"/>
              <w:szCs w:val="22"/>
            </w:rPr>
          </w:pPr>
          <w:hyperlink w:anchor="_Toc54606358" w:history="1">
            <w:r w:rsidR="00DD252A" w:rsidRPr="009F226A">
              <w:rPr>
                <w:rStyle w:val="Hyperlink"/>
                <w:noProof/>
              </w:rPr>
              <w:t>II.</w:t>
            </w:r>
            <w:r w:rsidR="00DD252A">
              <w:rPr>
                <w:rFonts w:asciiTheme="minorHAnsi" w:hAnsiTheme="minorHAnsi" w:cstheme="minorBidi"/>
                <w:noProof/>
                <w:sz w:val="22"/>
                <w:szCs w:val="22"/>
              </w:rPr>
              <w:tab/>
            </w:r>
            <w:r w:rsidR="00DD252A" w:rsidRPr="009F226A">
              <w:rPr>
                <w:rStyle w:val="Hyperlink"/>
                <w:noProof/>
              </w:rPr>
              <w:t>PURPOSE AND SCOPE OF TESTIMONY</w:t>
            </w:r>
            <w:r w:rsidR="00DD252A">
              <w:rPr>
                <w:noProof/>
                <w:webHidden/>
              </w:rPr>
              <w:tab/>
            </w:r>
            <w:r w:rsidR="00DD252A">
              <w:rPr>
                <w:noProof/>
                <w:webHidden/>
              </w:rPr>
              <w:fldChar w:fldCharType="begin"/>
            </w:r>
            <w:r w:rsidR="00DD252A">
              <w:rPr>
                <w:noProof/>
                <w:webHidden/>
              </w:rPr>
              <w:instrText xml:space="preserve"> PAGEREF _Toc54606358 \h </w:instrText>
            </w:r>
            <w:r w:rsidR="00DD252A">
              <w:rPr>
                <w:noProof/>
                <w:webHidden/>
              </w:rPr>
            </w:r>
            <w:r w:rsidR="00DD252A">
              <w:rPr>
                <w:noProof/>
                <w:webHidden/>
              </w:rPr>
              <w:fldChar w:fldCharType="separate"/>
            </w:r>
            <w:r w:rsidR="00605D7C">
              <w:rPr>
                <w:noProof/>
                <w:webHidden/>
              </w:rPr>
              <w:t>4</w:t>
            </w:r>
            <w:r w:rsidR="00DD252A">
              <w:rPr>
                <w:noProof/>
                <w:webHidden/>
              </w:rPr>
              <w:fldChar w:fldCharType="end"/>
            </w:r>
          </w:hyperlink>
        </w:p>
        <w:p w14:paraId="465FB83D" w14:textId="467275C4" w:rsidR="00DD252A" w:rsidRDefault="008F4648" w:rsidP="00DD252A">
          <w:pPr>
            <w:pStyle w:val="TOC1"/>
            <w:rPr>
              <w:rFonts w:asciiTheme="minorHAnsi" w:hAnsiTheme="minorHAnsi" w:cstheme="minorBidi"/>
              <w:noProof/>
              <w:sz w:val="22"/>
              <w:szCs w:val="22"/>
            </w:rPr>
          </w:pPr>
          <w:hyperlink w:anchor="_Toc54606359" w:history="1">
            <w:r w:rsidR="00DD252A" w:rsidRPr="009F226A">
              <w:rPr>
                <w:rStyle w:val="Hyperlink"/>
                <w:noProof/>
              </w:rPr>
              <w:t>III.</w:t>
            </w:r>
            <w:r w:rsidR="00DD252A">
              <w:rPr>
                <w:rFonts w:asciiTheme="minorHAnsi" w:hAnsiTheme="minorHAnsi" w:cstheme="minorBidi"/>
                <w:noProof/>
                <w:sz w:val="22"/>
                <w:szCs w:val="22"/>
              </w:rPr>
              <w:tab/>
            </w:r>
            <w:r w:rsidR="00DD252A" w:rsidRPr="009F226A">
              <w:rPr>
                <w:rStyle w:val="Hyperlink"/>
                <w:noProof/>
              </w:rPr>
              <w:t>ADFIT</w:t>
            </w:r>
            <w:r w:rsidR="00DD252A">
              <w:rPr>
                <w:noProof/>
                <w:webHidden/>
              </w:rPr>
              <w:tab/>
            </w:r>
            <w:r w:rsidR="00DD252A">
              <w:rPr>
                <w:noProof/>
                <w:webHidden/>
              </w:rPr>
              <w:fldChar w:fldCharType="begin"/>
            </w:r>
            <w:r w:rsidR="00DD252A">
              <w:rPr>
                <w:noProof/>
                <w:webHidden/>
              </w:rPr>
              <w:instrText xml:space="preserve"> PAGEREF _Toc54606359 \h </w:instrText>
            </w:r>
            <w:r w:rsidR="00DD252A">
              <w:rPr>
                <w:noProof/>
                <w:webHidden/>
              </w:rPr>
            </w:r>
            <w:r w:rsidR="00DD252A">
              <w:rPr>
                <w:noProof/>
                <w:webHidden/>
              </w:rPr>
              <w:fldChar w:fldCharType="separate"/>
            </w:r>
            <w:r w:rsidR="00605D7C">
              <w:rPr>
                <w:noProof/>
                <w:webHidden/>
              </w:rPr>
              <w:t>5</w:t>
            </w:r>
            <w:r w:rsidR="00DD252A">
              <w:rPr>
                <w:noProof/>
                <w:webHidden/>
              </w:rPr>
              <w:fldChar w:fldCharType="end"/>
            </w:r>
          </w:hyperlink>
        </w:p>
        <w:p w14:paraId="612BE6B5" w14:textId="2DC9E61A" w:rsidR="00DD252A" w:rsidRDefault="008F4648" w:rsidP="00DD252A">
          <w:pPr>
            <w:pStyle w:val="TOC1"/>
            <w:rPr>
              <w:rFonts w:asciiTheme="minorHAnsi" w:hAnsiTheme="minorHAnsi" w:cstheme="minorBidi"/>
              <w:noProof/>
              <w:sz w:val="22"/>
              <w:szCs w:val="22"/>
            </w:rPr>
          </w:pPr>
          <w:hyperlink w:anchor="_Toc54606360" w:history="1">
            <w:r w:rsidR="00DD252A" w:rsidRPr="009F226A">
              <w:rPr>
                <w:rStyle w:val="Hyperlink"/>
                <w:noProof/>
              </w:rPr>
              <w:t>IV.</w:t>
            </w:r>
            <w:r w:rsidR="00DD252A">
              <w:rPr>
                <w:rFonts w:asciiTheme="minorHAnsi" w:hAnsiTheme="minorHAnsi" w:cstheme="minorBidi"/>
                <w:noProof/>
                <w:sz w:val="22"/>
                <w:szCs w:val="22"/>
              </w:rPr>
              <w:tab/>
            </w:r>
            <w:r w:rsidR="00DD252A" w:rsidRPr="009F226A">
              <w:rPr>
                <w:rStyle w:val="Hyperlink"/>
                <w:noProof/>
              </w:rPr>
              <w:t>RATE OF RETURN</w:t>
            </w:r>
            <w:r w:rsidR="00DD252A">
              <w:rPr>
                <w:noProof/>
                <w:webHidden/>
              </w:rPr>
              <w:tab/>
            </w:r>
            <w:r w:rsidR="00DD252A">
              <w:rPr>
                <w:noProof/>
                <w:webHidden/>
              </w:rPr>
              <w:fldChar w:fldCharType="begin"/>
            </w:r>
            <w:r w:rsidR="00DD252A">
              <w:rPr>
                <w:noProof/>
                <w:webHidden/>
              </w:rPr>
              <w:instrText xml:space="preserve"> PAGEREF _Toc54606360 \h </w:instrText>
            </w:r>
            <w:r w:rsidR="00DD252A">
              <w:rPr>
                <w:noProof/>
                <w:webHidden/>
              </w:rPr>
            </w:r>
            <w:r w:rsidR="00DD252A">
              <w:rPr>
                <w:noProof/>
                <w:webHidden/>
              </w:rPr>
              <w:fldChar w:fldCharType="separate"/>
            </w:r>
            <w:r w:rsidR="00605D7C">
              <w:rPr>
                <w:noProof/>
                <w:webHidden/>
              </w:rPr>
              <w:t>8</w:t>
            </w:r>
            <w:r w:rsidR="00DD252A">
              <w:rPr>
                <w:noProof/>
                <w:webHidden/>
              </w:rPr>
              <w:fldChar w:fldCharType="end"/>
            </w:r>
          </w:hyperlink>
        </w:p>
        <w:p w14:paraId="6C3E92D4" w14:textId="44B6911B" w:rsidR="00DD252A" w:rsidRDefault="008F4648" w:rsidP="00DD252A">
          <w:pPr>
            <w:pStyle w:val="TOC1"/>
            <w:rPr>
              <w:rFonts w:asciiTheme="minorHAnsi" w:hAnsiTheme="minorHAnsi" w:cstheme="minorBidi"/>
              <w:noProof/>
              <w:sz w:val="22"/>
              <w:szCs w:val="22"/>
            </w:rPr>
          </w:pPr>
          <w:hyperlink w:anchor="_Toc54606361" w:history="1">
            <w:r w:rsidR="00DD252A" w:rsidRPr="009F226A">
              <w:rPr>
                <w:rStyle w:val="Hyperlink"/>
                <w:noProof/>
              </w:rPr>
              <w:t>V.</w:t>
            </w:r>
            <w:r w:rsidR="00DD252A">
              <w:rPr>
                <w:rFonts w:asciiTheme="minorHAnsi" w:hAnsiTheme="minorHAnsi" w:cstheme="minorBidi"/>
                <w:noProof/>
                <w:sz w:val="22"/>
                <w:szCs w:val="22"/>
              </w:rPr>
              <w:tab/>
            </w:r>
            <w:r w:rsidR="00DD252A" w:rsidRPr="009F226A">
              <w:rPr>
                <w:rStyle w:val="Hyperlink"/>
                <w:noProof/>
              </w:rPr>
              <w:t>COMPANY POSITION</w:t>
            </w:r>
            <w:r w:rsidR="00DD252A">
              <w:rPr>
                <w:noProof/>
                <w:webHidden/>
              </w:rPr>
              <w:tab/>
            </w:r>
            <w:r w:rsidR="00DD252A">
              <w:rPr>
                <w:noProof/>
                <w:webHidden/>
              </w:rPr>
              <w:fldChar w:fldCharType="begin"/>
            </w:r>
            <w:r w:rsidR="00DD252A">
              <w:rPr>
                <w:noProof/>
                <w:webHidden/>
              </w:rPr>
              <w:instrText xml:space="preserve"> PAGEREF _Toc54606361 \h </w:instrText>
            </w:r>
            <w:r w:rsidR="00DD252A">
              <w:rPr>
                <w:noProof/>
                <w:webHidden/>
              </w:rPr>
            </w:r>
            <w:r w:rsidR="00DD252A">
              <w:rPr>
                <w:noProof/>
                <w:webHidden/>
              </w:rPr>
              <w:fldChar w:fldCharType="separate"/>
            </w:r>
            <w:r w:rsidR="00605D7C">
              <w:rPr>
                <w:noProof/>
                <w:webHidden/>
              </w:rPr>
              <w:t>10</w:t>
            </w:r>
            <w:r w:rsidR="00DD252A">
              <w:rPr>
                <w:noProof/>
                <w:webHidden/>
              </w:rPr>
              <w:fldChar w:fldCharType="end"/>
            </w:r>
          </w:hyperlink>
        </w:p>
        <w:p w14:paraId="3793D07E" w14:textId="5970E6C5" w:rsidR="00DD252A" w:rsidRDefault="008F4648" w:rsidP="00DD252A">
          <w:pPr>
            <w:pStyle w:val="TOC1"/>
            <w:rPr>
              <w:rFonts w:asciiTheme="minorHAnsi" w:hAnsiTheme="minorHAnsi" w:cstheme="minorBidi"/>
              <w:noProof/>
              <w:sz w:val="22"/>
              <w:szCs w:val="22"/>
            </w:rPr>
          </w:pPr>
          <w:hyperlink w:anchor="_Toc54606362" w:history="1">
            <w:r w:rsidR="00DD252A" w:rsidRPr="009F226A">
              <w:rPr>
                <w:rStyle w:val="Hyperlink"/>
                <w:noProof/>
              </w:rPr>
              <w:t>VI.</w:t>
            </w:r>
            <w:r w:rsidR="00DD252A">
              <w:rPr>
                <w:rFonts w:asciiTheme="minorHAnsi" w:hAnsiTheme="minorHAnsi" w:cstheme="minorBidi"/>
                <w:noProof/>
                <w:sz w:val="22"/>
                <w:szCs w:val="22"/>
              </w:rPr>
              <w:tab/>
            </w:r>
            <w:r w:rsidR="00DD252A" w:rsidRPr="009F226A">
              <w:rPr>
                <w:rStyle w:val="Hyperlink"/>
                <w:noProof/>
              </w:rPr>
              <w:t>STAFF RECOMMENDATION</w:t>
            </w:r>
            <w:r w:rsidR="00DD252A">
              <w:rPr>
                <w:noProof/>
                <w:webHidden/>
              </w:rPr>
              <w:tab/>
            </w:r>
            <w:r w:rsidR="00DD252A">
              <w:rPr>
                <w:noProof/>
                <w:webHidden/>
              </w:rPr>
              <w:fldChar w:fldCharType="begin"/>
            </w:r>
            <w:r w:rsidR="00DD252A">
              <w:rPr>
                <w:noProof/>
                <w:webHidden/>
              </w:rPr>
              <w:instrText xml:space="preserve"> PAGEREF _Toc54606362 \h </w:instrText>
            </w:r>
            <w:r w:rsidR="00DD252A">
              <w:rPr>
                <w:noProof/>
                <w:webHidden/>
              </w:rPr>
            </w:r>
            <w:r w:rsidR="00DD252A">
              <w:rPr>
                <w:noProof/>
                <w:webHidden/>
              </w:rPr>
              <w:fldChar w:fldCharType="separate"/>
            </w:r>
            <w:r w:rsidR="00605D7C">
              <w:rPr>
                <w:noProof/>
                <w:webHidden/>
              </w:rPr>
              <w:t>11</w:t>
            </w:r>
            <w:r w:rsidR="00DD252A">
              <w:rPr>
                <w:noProof/>
                <w:webHidden/>
              </w:rPr>
              <w:fldChar w:fldCharType="end"/>
            </w:r>
          </w:hyperlink>
        </w:p>
        <w:p w14:paraId="3CB246D1" w14:textId="13B7AC50" w:rsidR="00DD252A" w:rsidRDefault="008F4648" w:rsidP="00DD252A">
          <w:pPr>
            <w:pStyle w:val="TOC1"/>
            <w:rPr>
              <w:rFonts w:asciiTheme="minorHAnsi" w:hAnsiTheme="minorHAnsi" w:cstheme="minorBidi"/>
              <w:noProof/>
              <w:sz w:val="22"/>
              <w:szCs w:val="22"/>
            </w:rPr>
          </w:pPr>
          <w:hyperlink w:anchor="_Toc54606363" w:history="1">
            <w:r w:rsidR="00DD252A" w:rsidRPr="009F226A">
              <w:rPr>
                <w:rStyle w:val="Hyperlink"/>
                <w:noProof/>
              </w:rPr>
              <w:t>VII.</w:t>
            </w:r>
            <w:r w:rsidR="00DD252A">
              <w:rPr>
                <w:rFonts w:asciiTheme="minorHAnsi" w:hAnsiTheme="minorHAnsi" w:cstheme="minorBidi"/>
                <w:noProof/>
                <w:sz w:val="22"/>
                <w:szCs w:val="22"/>
              </w:rPr>
              <w:tab/>
            </w:r>
            <w:r w:rsidR="00DD252A" w:rsidRPr="009F226A">
              <w:rPr>
                <w:rStyle w:val="Hyperlink"/>
                <w:noProof/>
              </w:rPr>
              <w:t>BAROMETER (PROXY) GROUP</w:t>
            </w:r>
            <w:r w:rsidR="00DD252A">
              <w:rPr>
                <w:noProof/>
                <w:webHidden/>
              </w:rPr>
              <w:tab/>
            </w:r>
            <w:r w:rsidR="00DD252A">
              <w:rPr>
                <w:noProof/>
                <w:webHidden/>
              </w:rPr>
              <w:fldChar w:fldCharType="begin"/>
            </w:r>
            <w:r w:rsidR="00DD252A">
              <w:rPr>
                <w:noProof/>
                <w:webHidden/>
              </w:rPr>
              <w:instrText xml:space="preserve"> PAGEREF _Toc54606363 \h </w:instrText>
            </w:r>
            <w:r w:rsidR="00DD252A">
              <w:rPr>
                <w:noProof/>
                <w:webHidden/>
              </w:rPr>
            </w:r>
            <w:r w:rsidR="00DD252A">
              <w:rPr>
                <w:noProof/>
                <w:webHidden/>
              </w:rPr>
              <w:fldChar w:fldCharType="separate"/>
            </w:r>
            <w:r w:rsidR="00605D7C">
              <w:rPr>
                <w:noProof/>
                <w:webHidden/>
              </w:rPr>
              <w:t>11</w:t>
            </w:r>
            <w:r w:rsidR="00DD252A">
              <w:rPr>
                <w:noProof/>
                <w:webHidden/>
              </w:rPr>
              <w:fldChar w:fldCharType="end"/>
            </w:r>
          </w:hyperlink>
        </w:p>
        <w:p w14:paraId="1E539FFC" w14:textId="526279CB" w:rsidR="00DD252A" w:rsidRDefault="008F4648" w:rsidP="00DD252A">
          <w:pPr>
            <w:pStyle w:val="TOC1"/>
            <w:rPr>
              <w:rFonts w:asciiTheme="minorHAnsi" w:hAnsiTheme="minorHAnsi" w:cstheme="minorBidi"/>
              <w:noProof/>
              <w:sz w:val="22"/>
              <w:szCs w:val="22"/>
            </w:rPr>
          </w:pPr>
          <w:hyperlink w:anchor="_Toc54606364" w:history="1">
            <w:r w:rsidR="00DD252A" w:rsidRPr="009F226A">
              <w:rPr>
                <w:rStyle w:val="Hyperlink"/>
                <w:noProof/>
              </w:rPr>
              <w:t>VIII.</w:t>
            </w:r>
            <w:r w:rsidR="00DD252A">
              <w:rPr>
                <w:rFonts w:asciiTheme="minorHAnsi" w:hAnsiTheme="minorHAnsi" w:cstheme="minorBidi"/>
                <w:noProof/>
                <w:sz w:val="22"/>
                <w:szCs w:val="22"/>
              </w:rPr>
              <w:tab/>
            </w:r>
            <w:r w:rsidR="00DD252A" w:rsidRPr="009F226A">
              <w:rPr>
                <w:rStyle w:val="Hyperlink"/>
                <w:noProof/>
              </w:rPr>
              <w:t>CAPITAL STRUCTURE</w:t>
            </w:r>
            <w:r w:rsidR="00DD252A">
              <w:rPr>
                <w:noProof/>
                <w:webHidden/>
              </w:rPr>
              <w:tab/>
            </w:r>
            <w:r w:rsidR="00DD252A">
              <w:rPr>
                <w:noProof/>
                <w:webHidden/>
              </w:rPr>
              <w:fldChar w:fldCharType="begin"/>
            </w:r>
            <w:r w:rsidR="00DD252A">
              <w:rPr>
                <w:noProof/>
                <w:webHidden/>
              </w:rPr>
              <w:instrText xml:space="preserve"> PAGEREF _Toc54606364 \h </w:instrText>
            </w:r>
            <w:r w:rsidR="00DD252A">
              <w:rPr>
                <w:noProof/>
                <w:webHidden/>
              </w:rPr>
            </w:r>
            <w:r w:rsidR="00DD252A">
              <w:rPr>
                <w:noProof/>
                <w:webHidden/>
              </w:rPr>
              <w:fldChar w:fldCharType="separate"/>
            </w:r>
            <w:r w:rsidR="00605D7C">
              <w:rPr>
                <w:noProof/>
                <w:webHidden/>
              </w:rPr>
              <w:t>13</w:t>
            </w:r>
            <w:r w:rsidR="00DD252A">
              <w:rPr>
                <w:noProof/>
                <w:webHidden/>
              </w:rPr>
              <w:fldChar w:fldCharType="end"/>
            </w:r>
          </w:hyperlink>
        </w:p>
        <w:p w14:paraId="092D5B25" w14:textId="0FA3C26E" w:rsidR="00DD252A" w:rsidRDefault="008F4648" w:rsidP="00DD252A">
          <w:pPr>
            <w:pStyle w:val="TOC1"/>
            <w:rPr>
              <w:rFonts w:asciiTheme="minorHAnsi" w:hAnsiTheme="minorHAnsi" w:cstheme="minorBidi"/>
              <w:noProof/>
              <w:sz w:val="22"/>
              <w:szCs w:val="22"/>
            </w:rPr>
          </w:pPr>
          <w:hyperlink w:anchor="_Toc54606365" w:history="1">
            <w:r w:rsidR="00DD252A" w:rsidRPr="009F226A">
              <w:rPr>
                <w:rStyle w:val="Hyperlink"/>
                <w:noProof/>
              </w:rPr>
              <w:t>IX.</w:t>
            </w:r>
            <w:r w:rsidR="00DD252A">
              <w:rPr>
                <w:rFonts w:asciiTheme="minorHAnsi" w:hAnsiTheme="minorHAnsi" w:cstheme="minorBidi"/>
                <w:noProof/>
                <w:sz w:val="22"/>
                <w:szCs w:val="22"/>
              </w:rPr>
              <w:tab/>
            </w:r>
            <w:r w:rsidR="00DD252A" w:rsidRPr="009F226A">
              <w:rPr>
                <w:rStyle w:val="Hyperlink"/>
                <w:noProof/>
              </w:rPr>
              <w:t>COST RATE OF LONG-TERM DEBT</w:t>
            </w:r>
            <w:r w:rsidR="00DD252A">
              <w:rPr>
                <w:noProof/>
                <w:webHidden/>
              </w:rPr>
              <w:tab/>
            </w:r>
            <w:r w:rsidR="00DD252A">
              <w:rPr>
                <w:noProof/>
                <w:webHidden/>
              </w:rPr>
              <w:fldChar w:fldCharType="begin"/>
            </w:r>
            <w:r w:rsidR="00DD252A">
              <w:rPr>
                <w:noProof/>
                <w:webHidden/>
              </w:rPr>
              <w:instrText xml:space="preserve"> PAGEREF _Toc54606365 \h </w:instrText>
            </w:r>
            <w:r w:rsidR="00DD252A">
              <w:rPr>
                <w:noProof/>
                <w:webHidden/>
              </w:rPr>
            </w:r>
            <w:r w:rsidR="00DD252A">
              <w:rPr>
                <w:noProof/>
                <w:webHidden/>
              </w:rPr>
              <w:fldChar w:fldCharType="separate"/>
            </w:r>
            <w:r w:rsidR="00605D7C">
              <w:rPr>
                <w:noProof/>
                <w:webHidden/>
              </w:rPr>
              <w:t>14</w:t>
            </w:r>
            <w:r w:rsidR="00DD252A">
              <w:rPr>
                <w:noProof/>
                <w:webHidden/>
              </w:rPr>
              <w:fldChar w:fldCharType="end"/>
            </w:r>
          </w:hyperlink>
        </w:p>
        <w:p w14:paraId="2C0E50B1" w14:textId="1D6F2797" w:rsidR="00DD252A" w:rsidRDefault="008F4648" w:rsidP="00DD252A">
          <w:pPr>
            <w:pStyle w:val="TOC1"/>
            <w:rPr>
              <w:rFonts w:asciiTheme="minorHAnsi" w:hAnsiTheme="minorHAnsi" w:cstheme="minorBidi"/>
              <w:noProof/>
              <w:sz w:val="22"/>
              <w:szCs w:val="22"/>
            </w:rPr>
          </w:pPr>
          <w:hyperlink w:anchor="_Toc54606366" w:history="1">
            <w:r w:rsidR="00DD252A" w:rsidRPr="009F226A">
              <w:rPr>
                <w:rStyle w:val="Hyperlink"/>
                <w:noProof/>
              </w:rPr>
              <w:t>X.</w:t>
            </w:r>
            <w:r w:rsidR="00DD252A">
              <w:rPr>
                <w:rFonts w:asciiTheme="minorHAnsi" w:hAnsiTheme="minorHAnsi" w:cstheme="minorBidi"/>
                <w:noProof/>
                <w:sz w:val="22"/>
                <w:szCs w:val="22"/>
              </w:rPr>
              <w:tab/>
            </w:r>
            <w:r w:rsidR="00DD252A" w:rsidRPr="009F226A">
              <w:rPr>
                <w:rStyle w:val="Hyperlink"/>
                <w:noProof/>
              </w:rPr>
              <w:t>EQUITY ANALYSIS</w:t>
            </w:r>
            <w:r w:rsidR="00DD252A">
              <w:rPr>
                <w:noProof/>
                <w:webHidden/>
              </w:rPr>
              <w:tab/>
            </w:r>
            <w:r w:rsidR="00DD252A">
              <w:rPr>
                <w:noProof/>
                <w:webHidden/>
              </w:rPr>
              <w:fldChar w:fldCharType="begin"/>
            </w:r>
            <w:r w:rsidR="00DD252A">
              <w:rPr>
                <w:noProof/>
                <w:webHidden/>
              </w:rPr>
              <w:instrText xml:space="preserve"> PAGEREF _Toc54606366 \h </w:instrText>
            </w:r>
            <w:r w:rsidR="00DD252A">
              <w:rPr>
                <w:noProof/>
                <w:webHidden/>
              </w:rPr>
            </w:r>
            <w:r w:rsidR="00DD252A">
              <w:rPr>
                <w:noProof/>
                <w:webHidden/>
              </w:rPr>
              <w:fldChar w:fldCharType="separate"/>
            </w:r>
            <w:r w:rsidR="00605D7C">
              <w:rPr>
                <w:noProof/>
                <w:webHidden/>
              </w:rPr>
              <w:t>15</w:t>
            </w:r>
            <w:r w:rsidR="00DD252A">
              <w:rPr>
                <w:noProof/>
                <w:webHidden/>
              </w:rPr>
              <w:fldChar w:fldCharType="end"/>
            </w:r>
          </w:hyperlink>
        </w:p>
        <w:p w14:paraId="3C3A5D42" w14:textId="50A0237B" w:rsidR="00DD252A" w:rsidRDefault="008F4648">
          <w:pPr>
            <w:pStyle w:val="TOC2"/>
            <w:rPr>
              <w:rFonts w:asciiTheme="minorHAnsi" w:hAnsiTheme="minorHAnsi" w:cstheme="minorBidi"/>
              <w:noProof/>
              <w:sz w:val="22"/>
              <w:szCs w:val="22"/>
            </w:rPr>
          </w:pPr>
          <w:hyperlink w:anchor="_Toc54606367" w:history="1">
            <w:r w:rsidR="00DD252A" w:rsidRPr="009F226A">
              <w:rPr>
                <w:rStyle w:val="Hyperlink"/>
                <w:noProof/>
              </w:rPr>
              <w:t>A.</w:t>
            </w:r>
            <w:r w:rsidR="00DD252A">
              <w:rPr>
                <w:rFonts w:asciiTheme="minorHAnsi" w:hAnsiTheme="minorHAnsi" w:cstheme="minorBidi"/>
                <w:noProof/>
                <w:sz w:val="22"/>
                <w:szCs w:val="22"/>
              </w:rPr>
              <w:tab/>
            </w:r>
            <w:r w:rsidR="00DD252A" w:rsidRPr="009F226A">
              <w:rPr>
                <w:rStyle w:val="Hyperlink"/>
                <w:noProof/>
              </w:rPr>
              <w:t>DISCOUNTED CASH FLOW (DCF)</w:t>
            </w:r>
            <w:r w:rsidR="00DD252A">
              <w:rPr>
                <w:noProof/>
                <w:webHidden/>
              </w:rPr>
              <w:tab/>
            </w:r>
            <w:r w:rsidR="00DD252A">
              <w:rPr>
                <w:noProof/>
                <w:webHidden/>
              </w:rPr>
              <w:fldChar w:fldCharType="begin"/>
            </w:r>
            <w:r w:rsidR="00DD252A">
              <w:rPr>
                <w:noProof/>
                <w:webHidden/>
              </w:rPr>
              <w:instrText xml:space="preserve"> PAGEREF _Toc54606367 \h </w:instrText>
            </w:r>
            <w:r w:rsidR="00DD252A">
              <w:rPr>
                <w:noProof/>
                <w:webHidden/>
              </w:rPr>
            </w:r>
            <w:r w:rsidR="00DD252A">
              <w:rPr>
                <w:noProof/>
                <w:webHidden/>
              </w:rPr>
              <w:fldChar w:fldCharType="separate"/>
            </w:r>
            <w:r w:rsidR="00605D7C">
              <w:rPr>
                <w:noProof/>
                <w:webHidden/>
              </w:rPr>
              <w:t>15</w:t>
            </w:r>
            <w:r w:rsidR="00DD252A">
              <w:rPr>
                <w:noProof/>
                <w:webHidden/>
              </w:rPr>
              <w:fldChar w:fldCharType="end"/>
            </w:r>
          </w:hyperlink>
        </w:p>
        <w:p w14:paraId="26188758" w14:textId="5FC8B955" w:rsidR="00DD252A" w:rsidRDefault="008F4648">
          <w:pPr>
            <w:pStyle w:val="TOC2"/>
            <w:rPr>
              <w:rFonts w:asciiTheme="minorHAnsi" w:hAnsiTheme="minorHAnsi" w:cstheme="minorBidi"/>
              <w:noProof/>
              <w:sz w:val="22"/>
              <w:szCs w:val="22"/>
            </w:rPr>
          </w:pPr>
          <w:hyperlink w:anchor="_Toc54606368" w:history="1">
            <w:r w:rsidR="00DD252A" w:rsidRPr="009F226A">
              <w:rPr>
                <w:rStyle w:val="Hyperlink"/>
                <w:noProof/>
              </w:rPr>
              <w:t>B.</w:t>
            </w:r>
            <w:r w:rsidR="00DD252A">
              <w:rPr>
                <w:rFonts w:asciiTheme="minorHAnsi" w:hAnsiTheme="minorHAnsi" w:cstheme="minorBidi"/>
                <w:noProof/>
                <w:sz w:val="22"/>
                <w:szCs w:val="22"/>
              </w:rPr>
              <w:tab/>
            </w:r>
            <w:r w:rsidR="00DD252A" w:rsidRPr="009F226A">
              <w:rPr>
                <w:rStyle w:val="Hyperlink"/>
                <w:noProof/>
              </w:rPr>
              <w:t>CONVENTIONAL RISK-PREMIUM ESTIMATE</w:t>
            </w:r>
            <w:r w:rsidR="00DD252A">
              <w:rPr>
                <w:noProof/>
                <w:webHidden/>
              </w:rPr>
              <w:tab/>
            </w:r>
            <w:r w:rsidR="00DD252A">
              <w:rPr>
                <w:noProof/>
                <w:webHidden/>
              </w:rPr>
              <w:fldChar w:fldCharType="begin"/>
            </w:r>
            <w:r w:rsidR="00DD252A">
              <w:rPr>
                <w:noProof/>
                <w:webHidden/>
              </w:rPr>
              <w:instrText xml:space="preserve"> PAGEREF _Toc54606368 \h </w:instrText>
            </w:r>
            <w:r w:rsidR="00DD252A">
              <w:rPr>
                <w:noProof/>
                <w:webHidden/>
              </w:rPr>
            </w:r>
            <w:r w:rsidR="00DD252A">
              <w:rPr>
                <w:noProof/>
                <w:webHidden/>
              </w:rPr>
              <w:fldChar w:fldCharType="separate"/>
            </w:r>
            <w:r w:rsidR="00605D7C">
              <w:rPr>
                <w:noProof/>
                <w:webHidden/>
              </w:rPr>
              <w:t>19</w:t>
            </w:r>
            <w:r w:rsidR="00DD252A">
              <w:rPr>
                <w:noProof/>
                <w:webHidden/>
              </w:rPr>
              <w:fldChar w:fldCharType="end"/>
            </w:r>
          </w:hyperlink>
        </w:p>
        <w:p w14:paraId="160CF0B2" w14:textId="75201A8F" w:rsidR="00DD252A" w:rsidRDefault="008F4648" w:rsidP="00DD252A">
          <w:pPr>
            <w:pStyle w:val="TOC1"/>
            <w:rPr>
              <w:rFonts w:asciiTheme="minorHAnsi" w:hAnsiTheme="minorHAnsi" w:cstheme="minorBidi"/>
              <w:noProof/>
              <w:sz w:val="22"/>
              <w:szCs w:val="22"/>
            </w:rPr>
          </w:pPr>
          <w:hyperlink w:anchor="_Toc54606369" w:history="1">
            <w:r w:rsidR="00DD252A" w:rsidRPr="009F226A">
              <w:rPr>
                <w:rStyle w:val="Hyperlink"/>
                <w:noProof/>
              </w:rPr>
              <w:t>XI.</w:t>
            </w:r>
            <w:r w:rsidR="00DD252A">
              <w:rPr>
                <w:rFonts w:asciiTheme="minorHAnsi" w:hAnsiTheme="minorHAnsi" w:cstheme="minorBidi"/>
                <w:noProof/>
                <w:sz w:val="22"/>
                <w:szCs w:val="22"/>
              </w:rPr>
              <w:tab/>
            </w:r>
            <w:r w:rsidR="00DD252A" w:rsidRPr="009F226A">
              <w:rPr>
                <w:rStyle w:val="Hyperlink"/>
                <w:noProof/>
              </w:rPr>
              <w:t>SIZE</w:t>
            </w:r>
            <w:r w:rsidR="00DD252A">
              <w:rPr>
                <w:noProof/>
                <w:webHidden/>
              </w:rPr>
              <w:tab/>
            </w:r>
            <w:r w:rsidR="00DD252A">
              <w:rPr>
                <w:noProof/>
                <w:webHidden/>
              </w:rPr>
              <w:fldChar w:fldCharType="begin"/>
            </w:r>
            <w:r w:rsidR="00DD252A">
              <w:rPr>
                <w:noProof/>
                <w:webHidden/>
              </w:rPr>
              <w:instrText xml:space="preserve"> PAGEREF _Toc54606369 \h </w:instrText>
            </w:r>
            <w:r w:rsidR="00DD252A">
              <w:rPr>
                <w:noProof/>
                <w:webHidden/>
              </w:rPr>
            </w:r>
            <w:r w:rsidR="00DD252A">
              <w:rPr>
                <w:noProof/>
                <w:webHidden/>
              </w:rPr>
              <w:fldChar w:fldCharType="separate"/>
            </w:r>
            <w:r w:rsidR="00605D7C">
              <w:rPr>
                <w:noProof/>
                <w:webHidden/>
              </w:rPr>
              <w:t>21</w:t>
            </w:r>
            <w:r w:rsidR="00DD252A">
              <w:rPr>
                <w:noProof/>
                <w:webHidden/>
              </w:rPr>
              <w:fldChar w:fldCharType="end"/>
            </w:r>
          </w:hyperlink>
        </w:p>
        <w:p w14:paraId="097A9936" w14:textId="0C48C469" w:rsidR="00DD252A" w:rsidRDefault="008F4648" w:rsidP="00DD252A">
          <w:pPr>
            <w:pStyle w:val="TOC1"/>
            <w:rPr>
              <w:rFonts w:asciiTheme="minorHAnsi" w:hAnsiTheme="minorHAnsi" w:cstheme="minorBidi"/>
              <w:noProof/>
              <w:sz w:val="22"/>
              <w:szCs w:val="22"/>
            </w:rPr>
          </w:pPr>
          <w:hyperlink w:anchor="_Toc54606370" w:history="1">
            <w:r w:rsidR="00DD252A" w:rsidRPr="009F226A">
              <w:rPr>
                <w:rStyle w:val="Hyperlink"/>
                <w:noProof/>
              </w:rPr>
              <w:t>XII.</w:t>
            </w:r>
            <w:r w:rsidR="00DD252A">
              <w:rPr>
                <w:rFonts w:asciiTheme="minorHAnsi" w:hAnsiTheme="minorHAnsi" w:cstheme="minorBidi"/>
                <w:noProof/>
                <w:sz w:val="22"/>
                <w:szCs w:val="22"/>
              </w:rPr>
              <w:tab/>
            </w:r>
            <w:r w:rsidR="00DD252A" w:rsidRPr="009F226A">
              <w:rPr>
                <w:rStyle w:val="Hyperlink"/>
                <w:noProof/>
              </w:rPr>
              <w:t>OTHER COMMENTS</w:t>
            </w:r>
            <w:r w:rsidR="00DD252A">
              <w:rPr>
                <w:noProof/>
                <w:webHidden/>
              </w:rPr>
              <w:tab/>
            </w:r>
            <w:r w:rsidR="00DD252A">
              <w:rPr>
                <w:noProof/>
                <w:webHidden/>
              </w:rPr>
              <w:fldChar w:fldCharType="begin"/>
            </w:r>
            <w:r w:rsidR="00DD252A">
              <w:rPr>
                <w:noProof/>
                <w:webHidden/>
              </w:rPr>
              <w:instrText xml:space="preserve"> PAGEREF _Toc54606370 \h </w:instrText>
            </w:r>
            <w:r w:rsidR="00DD252A">
              <w:rPr>
                <w:noProof/>
                <w:webHidden/>
              </w:rPr>
            </w:r>
            <w:r w:rsidR="00DD252A">
              <w:rPr>
                <w:noProof/>
                <w:webHidden/>
              </w:rPr>
              <w:fldChar w:fldCharType="separate"/>
            </w:r>
            <w:r w:rsidR="00605D7C">
              <w:rPr>
                <w:noProof/>
                <w:webHidden/>
              </w:rPr>
              <w:t>23</w:t>
            </w:r>
            <w:r w:rsidR="00DD252A">
              <w:rPr>
                <w:noProof/>
                <w:webHidden/>
              </w:rPr>
              <w:fldChar w:fldCharType="end"/>
            </w:r>
          </w:hyperlink>
        </w:p>
        <w:p w14:paraId="3F54571A" w14:textId="04A1905F" w:rsidR="00DD252A" w:rsidRDefault="008F4648" w:rsidP="00DD252A">
          <w:pPr>
            <w:pStyle w:val="TOC1"/>
            <w:rPr>
              <w:rFonts w:asciiTheme="minorHAnsi" w:hAnsiTheme="minorHAnsi" w:cstheme="minorBidi"/>
              <w:noProof/>
              <w:sz w:val="22"/>
              <w:szCs w:val="22"/>
            </w:rPr>
          </w:pPr>
          <w:hyperlink w:anchor="_Toc54606371" w:history="1">
            <w:r w:rsidR="00DD252A" w:rsidRPr="009F226A">
              <w:rPr>
                <w:rStyle w:val="Hyperlink"/>
                <w:noProof/>
              </w:rPr>
              <w:t>XIII.</w:t>
            </w:r>
            <w:r w:rsidR="00DD252A">
              <w:rPr>
                <w:rFonts w:asciiTheme="minorHAnsi" w:hAnsiTheme="minorHAnsi" w:cstheme="minorBidi"/>
                <w:noProof/>
                <w:sz w:val="22"/>
                <w:szCs w:val="22"/>
              </w:rPr>
              <w:tab/>
            </w:r>
            <w:r w:rsidR="00DD252A" w:rsidRPr="009F226A">
              <w:rPr>
                <w:rStyle w:val="Hyperlink"/>
                <w:noProof/>
              </w:rPr>
              <w:t>SUMMARY</w:t>
            </w:r>
            <w:r w:rsidR="00DD252A">
              <w:rPr>
                <w:noProof/>
                <w:webHidden/>
              </w:rPr>
              <w:tab/>
            </w:r>
            <w:r w:rsidR="00DD252A">
              <w:rPr>
                <w:noProof/>
                <w:webHidden/>
              </w:rPr>
              <w:fldChar w:fldCharType="begin"/>
            </w:r>
            <w:r w:rsidR="00DD252A">
              <w:rPr>
                <w:noProof/>
                <w:webHidden/>
              </w:rPr>
              <w:instrText xml:space="preserve"> PAGEREF _Toc54606371 \h </w:instrText>
            </w:r>
            <w:r w:rsidR="00DD252A">
              <w:rPr>
                <w:noProof/>
                <w:webHidden/>
              </w:rPr>
            </w:r>
            <w:r w:rsidR="00DD252A">
              <w:rPr>
                <w:noProof/>
                <w:webHidden/>
              </w:rPr>
              <w:fldChar w:fldCharType="separate"/>
            </w:r>
            <w:r w:rsidR="00605D7C">
              <w:rPr>
                <w:noProof/>
                <w:webHidden/>
              </w:rPr>
              <w:t>25</w:t>
            </w:r>
            <w:r w:rsidR="00DD252A">
              <w:rPr>
                <w:noProof/>
                <w:webHidden/>
              </w:rPr>
              <w:fldChar w:fldCharType="end"/>
            </w:r>
          </w:hyperlink>
        </w:p>
        <w:p w14:paraId="07C0D88A" w14:textId="219E59E9" w:rsidR="005B29FB" w:rsidRDefault="005B29FB" w:rsidP="0043384F">
          <w:pPr>
            <w:suppressLineNumbers/>
            <w:spacing w:line="240" w:lineRule="auto"/>
            <w:jc w:val="both"/>
          </w:pPr>
          <w:r>
            <w:rPr>
              <w:b/>
              <w:bCs/>
              <w:noProof/>
            </w:rPr>
            <w:fldChar w:fldCharType="end"/>
          </w:r>
        </w:p>
      </w:sdtContent>
    </w:sdt>
    <w:p w14:paraId="73862443" w14:textId="77777777" w:rsidR="00EC04D1" w:rsidRDefault="00EC04D1" w:rsidP="001E3BFD">
      <w:pPr>
        <w:suppressLineNumbers/>
        <w:spacing w:line="240" w:lineRule="auto"/>
      </w:pPr>
    </w:p>
    <w:p w14:paraId="72A9BCDE" w14:textId="448260D7" w:rsidR="00EC04D1" w:rsidRDefault="00EC04D1" w:rsidP="00EC04D1">
      <w:pPr>
        <w:suppressLineNumbers/>
        <w:spacing w:line="240" w:lineRule="auto"/>
        <w:jc w:val="center"/>
        <w:rPr>
          <w:b/>
          <w:bCs/>
          <w:sz w:val="28"/>
          <w:szCs w:val="28"/>
        </w:rPr>
      </w:pPr>
      <w:r w:rsidRPr="00EC04D1">
        <w:rPr>
          <w:b/>
          <w:bCs/>
          <w:sz w:val="28"/>
          <w:szCs w:val="28"/>
        </w:rPr>
        <w:t>ATTACHMENTS</w:t>
      </w:r>
    </w:p>
    <w:p w14:paraId="58C9E8CE" w14:textId="77777777" w:rsidR="00EC04D1" w:rsidRPr="00EC04D1" w:rsidRDefault="00EC04D1" w:rsidP="00EC04D1">
      <w:pPr>
        <w:suppressLineNumbers/>
        <w:spacing w:line="240" w:lineRule="auto"/>
        <w:jc w:val="center"/>
        <w:rPr>
          <w:b/>
          <w:bCs/>
          <w:sz w:val="28"/>
          <w:szCs w:val="28"/>
        </w:rPr>
      </w:pPr>
    </w:p>
    <w:p w14:paraId="0C3FCA40" w14:textId="50A33972" w:rsidR="00F4221C" w:rsidRPr="001E3BFD" w:rsidRDefault="00E27371" w:rsidP="00EC04D1">
      <w:pPr>
        <w:suppressLineNumbers/>
        <w:spacing w:after="100" w:line="240" w:lineRule="auto"/>
      </w:pPr>
      <w:r w:rsidRPr="001E3BFD">
        <w:t>Attachment ES-1</w:t>
      </w:r>
      <w:r w:rsidR="00EC04D1">
        <w:tab/>
      </w:r>
      <w:r w:rsidR="00EC04D1">
        <w:tab/>
      </w:r>
      <w:r w:rsidRPr="001E3BFD">
        <w:t>Resume</w:t>
      </w:r>
    </w:p>
    <w:p w14:paraId="063EC1DC" w14:textId="449605E7" w:rsidR="00E27371" w:rsidRDefault="00E27371" w:rsidP="00EC04D1">
      <w:pPr>
        <w:suppressLineNumbers/>
        <w:spacing w:after="100" w:line="240" w:lineRule="auto"/>
      </w:pPr>
      <w:r w:rsidRPr="001E3BFD">
        <w:t>Attachment ES-2</w:t>
      </w:r>
      <w:r w:rsidR="00EC04D1">
        <w:tab/>
      </w:r>
      <w:r w:rsidR="00EC04D1">
        <w:tab/>
      </w:r>
      <w:r w:rsidRPr="001E3BFD">
        <w:t xml:space="preserve">Testimonies </w:t>
      </w:r>
    </w:p>
    <w:p w14:paraId="3533C057" w14:textId="1A9481C7" w:rsidR="00C466F7" w:rsidRPr="006E5B05" w:rsidRDefault="00C466F7" w:rsidP="00EC04D1">
      <w:pPr>
        <w:suppressLineNumbers/>
        <w:spacing w:after="100" w:line="240" w:lineRule="auto"/>
      </w:pPr>
      <w:r w:rsidRPr="006E5B05">
        <w:t>Attachment ES-</w:t>
      </w:r>
      <w:r w:rsidR="00074CDB" w:rsidRPr="006E5B05">
        <w:t>3</w:t>
      </w:r>
      <w:r w:rsidR="00EC04D1">
        <w:tab/>
      </w:r>
      <w:r w:rsidR="00EC04D1">
        <w:tab/>
      </w:r>
      <w:r w:rsidR="00822EBE" w:rsidRPr="006E5B05">
        <w:t>Weighted Average</w:t>
      </w:r>
      <w:r w:rsidR="00A94D00">
        <w:t xml:space="preserve"> Cost of Capital</w:t>
      </w:r>
    </w:p>
    <w:p w14:paraId="05CB2956" w14:textId="6EFAF04B" w:rsidR="00754DBA" w:rsidRPr="00A94D00" w:rsidRDefault="00C466F7" w:rsidP="00EC04D1">
      <w:pPr>
        <w:suppressLineNumbers/>
        <w:spacing w:after="100" w:line="240" w:lineRule="auto"/>
      </w:pPr>
      <w:r w:rsidRPr="00A94D00">
        <w:t>Attachment ES-</w:t>
      </w:r>
      <w:r w:rsidR="00754DBA" w:rsidRPr="00A94D00">
        <w:t>4</w:t>
      </w:r>
      <w:r w:rsidR="00EC04D1">
        <w:tab/>
      </w:r>
      <w:r w:rsidR="00EC04D1">
        <w:tab/>
      </w:r>
      <w:r w:rsidR="00131107" w:rsidRPr="00A94D00">
        <w:t>Barometer Group and Earnings Growth</w:t>
      </w:r>
    </w:p>
    <w:p w14:paraId="2911D56E" w14:textId="776C3A6E" w:rsidR="00754DBA" w:rsidRPr="00A94D00" w:rsidRDefault="00754DBA" w:rsidP="00EC04D1">
      <w:pPr>
        <w:suppressLineNumbers/>
        <w:spacing w:after="100" w:line="240" w:lineRule="auto"/>
      </w:pPr>
      <w:r w:rsidRPr="00A94D00">
        <w:t>Attachment ES-5</w:t>
      </w:r>
      <w:r w:rsidR="00EC04D1">
        <w:tab/>
      </w:r>
      <w:r w:rsidR="00EC04D1">
        <w:tab/>
      </w:r>
      <w:r w:rsidR="00131107" w:rsidRPr="00A94D00">
        <w:t>Average Stock Price</w:t>
      </w:r>
    </w:p>
    <w:p w14:paraId="0545C1D7" w14:textId="6938700E" w:rsidR="00C466F7" w:rsidRPr="00A94D00" w:rsidRDefault="00754DBA" w:rsidP="00EC04D1">
      <w:pPr>
        <w:suppressLineNumbers/>
        <w:spacing w:after="100" w:line="240" w:lineRule="auto"/>
      </w:pPr>
      <w:r w:rsidRPr="00A94D00">
        <w:t>Attachment ES-6</w:t>
      </w:r>
      <w:r w:rsidR="00EC04D1">
        <w:tab/>
      </w:r>
      <w:r w:rsidR="00EC04D1">
        <w:tab/>
      </w:r>
      <w:r w:rsidR="00131107" w:rsidRPr="00A94D00">
        <w:t>Forecasted Dividends</w:t>
      </w:r>
      <w:r w:rsidR="00C466F7" w:rsidRPr="00A94D00">
        <w:t xml:space="preserve"> </w:t>
      </w:r>
    </w:p>
    <w:p w14:paraId="602A0C8D" w14:textId="4298EDCF" w:rsidR="00C466F7" w:rsidRPr="00A94D00" w:rsidRDefault="00C466F7" w:rsidP="00EC04D1">
      <w:pPr>
        <w:suppressLineNumbers/>
        <w:spacing w:after="100" w:line="240" w:lineRule="auto"/>
      </w:pPr>
      <w:r w:rsidRPr="00A94D00">
        <w:t>Attachment ES-7</w:t>
      </w:r>
      <w:r w:rsidR="00EC04D1">
        <w:tab/>
      </w:r>
      <w:r w:rsidR="00EC04D1">
        <w:tab/>
      </w:r>
      <w:r w:rsidR="00131107" w:rsidRPr="00A94D00">
        <w:t>Discounted Cash Flow (Single-Stage)</w:t>
      </w:r>
    </w:p>
    <w:p w14:paraId="483066F2" w14:textId="4F799BC4" w:rsidR="00C466F7" w:rsidRPr="00A94D00" w:rsidRDefault="00C466F7" w:rsidP="00EC04D1">
      <w:pPr>
        <w:suppressLineNumbers/>
        <w:spacing w:after="100" w:line="240" w:lineRule="auto"/>
        <w:ind w:left="1890" w:hanging="1890"/>
      </w:pPr>
      <w:r w:rsidRPr="00A94D00">
        <w:t>Attachment ES-8</w:t>
      </w:r>
      <w:r w:rsidR="00EC04D1">
        <w:tab/>
      </w:r>
      <w:r w:rsidR="00EC04D1">
        <w:tab/>
      </w:r>
      <w:r w:rsidR="00131107" w:rsidRPr="00A94D00">
        <w:t>Discounted Cash Flow (Multi-Stage)</w:t>
      </w:r>
    </w:p>
    <w:p w14:paraId="03EA3712" w14:textId="7F914679" w:rsidR="00C466F7" w:rsidRPr="00A94D00" w:rsidRDefault="00C466F7" w:rsidP="00EC04D1">
      <w:pPr>
        <w:suppressLineNumbers/>
        <w:spacing w:after="100" w:line="240" w:lineRule="auto"/>
      </w:pPr>
      <w:r w:rsidRPr="00A94D00">
        <w:t>Attachment ES-9</w:t>
      </w:r>
      <w:r w:rsidR="00EC04D1">
        <w:tab/>
      </w:r>
      <w:r w:rsidR="00EC04D1">
        <w:tab/>
      </w:r>
      <w:r w:rsidR="00131107" w:rsidRPr="00A94D00">
        <w:t>Conventional Risk Premium Analysis</w:t>
      </w:r>
    </w:p>
    <w:p w14:paraId="309FC8C6" w14:textId="567DDA31" w:rsidR="00BE6571" w:rsidRPr="00A55C73" w:rsidRDefault="00C466F7" w:rsidP="00EC04D1">
      <w:pPr>
        <w:suppressLineNumbers/>
        <w:spacing w:after="100" w:line="240" w:lineRule="auto"/>
        <w:sectPr w:rsidR="00BE6571" w:rsidRPr="00A55C73" w:rsidSect="0043384F">
          <w:headerReference w:type="default" r:id="rId12"/>
          <w:headerReference w:type="first" r:id="rId13"/>
          <w:type w:val="continuous"/>
          <w:pgSz w:w="12240" w:h="15840" w:code="1"/>
          <w:pgMar w:top="720" w:right="1260" w:bottom="720" w:left="1440" w:header="720" w:footer="360" w:gutter="0"/>
          <w:lnNumType w:countBy="1"/>
          <w:pgNumType w:start="2"/>
          <w:cols w:space="720"/>
          <w:noEndnote/>
          <w:titlePg/>
          <w:docGrid w:linePitch="326"/>
        </w:sectPr>
      </w:pPr>
      <w:r w:rsidRPr="00A94D00">
        <w:t>Attachment ES-1</w:t>
      </w:r>
      <w:r w:rsidR="00754DBA" w:rsidRPr="00A94D00">
        <w:t>0</w:t>
      </w:r>
      <w:r w:rsidR="00EC04D1">
        <w:tab/>
      </w:r>
      <w:r w:rsidR="00131107" w:rsidRPr="00A94D00">
        <w:t>Return on Equity - Summary</w:t>
      </w:r>
    </w:p>
    <w:p w14:paraId="61E59E46" w14:textId="09D9D9E3" w:rsidR="004322A4" w:rsidRDefault="00C12C13" w:rsidP="00204A6E">
      <w:pPr>
        <w:pStyle w:val="Heading1"/>
        <w:spacing w:line="480" w:lineRule="exact"/>
        <w:ind w:left="720" w:hanging="720"/>
        <w:jc w:val="both"/>
      </w:pPr>
      <w:bookmarkStart w:id="1" w:name="_Toc54606357"/>
      <w:r>
        <w:lastRenderedPageBreak/>
        <w:t>INTRODUCTION OF WITNESS</w:t>
      </w:r>
      <w:bookmarkEnd w:id="1"/>
    </w:p>
    <w:p w14:paraId="40F5CB48" w14:textId="77777777" w:rsidR="004322A4" w:rsidRPr="00420FD0" w:rsidRDefault="004322A4" w:rsidP="00204A6E">
      <w:pPr>
        <w:tabs>
          <w:tab w:val="left" w:pos="720"/>
        </w:tabs>
        <w:spacing w:line="480" w:lineRule="exact"/>
        <w:jc w:val="both"/>
        <w:rPr>
          <w:b/>
          <w:bCs/>
          <w:szCs w:val="22"/>
        </w:rPr>
      </w:pPr>
      <w:r w:rsidRPr="009F6F2A">
        <w:rPr>
          <w:b/>
          <w:bCs/>
          <w:szCs w:val="22"/>
        </w:rPr>
        <w:t>Q.</w:t>
      </w:r>
      <w:r w:rsidRPr="009F6F2A">
        <w:rPr>
          <w:b/>
          <w:bCs/>
          <w:szCs w:val="22"/>
        </w:rPr>
        <w:tab/>
      </w:r>
      <w:r w:rsidRPr="00420FD0">
        <w:rPr>
          <w:b/>
          <w:bCs/>
          <w:szCs w:val="22"/>
        </w:rPr>
        <w:t>Please state your name and business address.</w:t>
      </w:r>
    </w:p>
    <w:p w14:paraId="3084598E" w14:textId="5ED599B2" w:rsidR="004322A4" w:rsidRDefault="004322A4" w:rsidP="00204A6E">
      <w:pPr>
        <w:tabs>
          <w:tab w:val="left" w:pos="720"/>
        </w:tabs>
        <w:spacing w:line="480" w:lineRule="exact"/>
        <w:ind w:left="720" w:hanging="720"/>
        <w:jc w:val="both"/>
        <w:rPr>
          <w:szCs w:val="22"/>
        </w:rPr>
      </w:pPr>
      <w:r w:rsidRPr="009F6F2A">
        <w:rPr>
          <w:szCs w:val="22"/>
        </w:rPr>
        <w:t xml:space="preserve">A. </w:t>
      </w:r>
      <w:r w:rsidRPr="009F6F2A">
        <w:rPr>
          <w:szCs w:val="22"/>
        </w:rPr>
        <w:tab/>
      </w:r>
      <w:r w:rsidR="005D33B4">
        <w:rPr>
          <w:szCs w:val="22"/>
        </w:rPr>
        <w:t xml:space="preserve">Ms. </w:t>
      </w:r>
      <w:r w:rsidR="00C12C13" w:rsidRPr="009F6F2A">
        <w:rPr>
          <w:szCs w:val="22"/>
        </w:rPr>
        <w:t>Emily Sears,</w:t>
      </w:r>
      <w:r w:rsidRPr="009F6F2A">
        <w:rPr>
          <w:szCs w:val="22"/>
        </w:rPr>
        <w:t xml:space="preserve"> Public Utility Commission</w:t>
      </w:r>
      <w:r w:rsidR="007B7B57" w:rsidRPr="009F6F2A">
        <w:rPr>
          <w:szCs w:val="22"/>
        </w:rPr>
        <w:t xml:space="preserve"> of Texas</w:t>
      </w:r>
      <w:r w:rsidRPr="009F6F2A">
        <w:rPr>
          <w:szCs w:val="22"/>
        </w:rPr>
        <w:t>, 1701 N. Congress Avenue, Austin, Texas 78711-3326.</w:t>
      </w:r>
    </w:p>
    <w:p w14:paraId="43762F5C" w14:textId="77777777" w:rsidR="00EC04D1" w:rsidRDefault="00EC04D1" w:rsidP="00E932E7">
      <w:pPr>
        <w:tabs>
          <w:tab w:val="left" w:pos="720"/>
        </w:tabs>
        <w:spacing w:line="240" w:lineRule="auto"/>
        <w:ind w:left="720" w:hanging="720"/>
        <w:jc w:val="both"/>
        <w:rPr>
          <w:szCs w:val="22"/>
        </w:rPr>
      </w:pPr>
    </w:p>
    <w:p w14:paraId="606C729A" w14:textId="77777777" w:rsidR="004322A4" w:rsidRPr="009F6F2A" w:rsidRDefault="004322A4" w:rsidP="00204A6E">
      <w:pPr>
        <w:tabs>
          <w:tab w:val="left" w:pos="720"/>
        </w:tabs>
        <w:spacing w:line="480" w:lineRule="exact"/>
        <w:ind w:left="720" w:hanging="720"/>
        <w:jc w:val="both"/>
        <w:rPr>
          <w:szCs w:val="22"/>
        </w:rPr>
      </w:pPr>
      <w:r w:rsidRPr="009F6F2A">
        <w:rPr>
          <w:b/>
          <w:bCs/>
          <w:szCs w:val="22"/>
        </w:rPr>
        <w:t>Q.</w:t>
      </w:r>
      <w:r w:rsidRPr="009F6F2A">
        <w:rPr>
          <w:b/>
          <w:bCs/>
          <w:szCs w:val="22"/>
        </w:rPr>
        <w:tab/>
      </w:r>
      <w:r w:rsidRPr="00420FD0">
        <w:rPr>
          <w:b/>
          <w:bCs/>
          <w:szCs w:val="22"/>
        </w:rPr>
        <w:t>By whom are you currently employed and in what capacity</w:t>
      </w:r>
      <w:r w:rsidRPr="00E31CCE">
        <w:rPr>
          <w:b/>
          <w:bCs/>
          <w:caps/>
          <w:szCs w:val="22"/>
        </w:rPr>
        <w:t>?</w:t>
      </w:r>
    </w:p>
    <w:p w14:paraId="3DBC5526" w14:textId="31B7CA81" w:rsidR="001B4832" w:rsidRDefault="004322A4" w:rsidP="00204A6E">
      <w:pPr>
        <w:tabs>
          <w:tab w:val="left" w:pos="720"/>
        </w:tabs>
        <w:spacing w:line="480" w:lineRule="exact"/>
        <w:ind w:left="720" w:hanging="720"/>
        <w:jc w:val="both"/>
        <w:rPr>
          <w:szCs w:val="22"/>
        </w:rPr>
      </w:pPr>
      <w:r w:rsidRPr="009F6F2A">
        <w:rPr>
          <w:szCs w:val="22"/>
        </w:rPr>
        <w:t>A.</w:t>
      </w:r>
      <w:r w:rsidRPr="009F6F2A">
        <w:rPr>
          <w:szCs w:val="22"/>
        </w:rPr>
        <w:tab/>
        <w:t>I have been employed by the Public Utility Commission</w:t>
      </w:r>
      <w:r w:rsidR="003D0AD4" w:rsidRPr="009F6F2A">
        <w:rPr>
          <w:szCs w:val="22"/>
        </w:rPr>
        <w:t xml:space="preserve"> of Texas</w:t>
      </w:r>
      <w:r w:rsidR="008028A9" w:rsidRPr="009F6F2A">
        <w:rPr>
          <w:szCs w:val="22"/>
        </w:rPr>
        <w:t xml:space="preserve"> (Commission</w:t>
      </w:r>
      <w:r w:rsidRPr="009F6F2A">
        <w:rPr>
          <w:szCs w:val="22"/>
        </w:rPr>
        <w:t xml:space="preserve">) since </w:t>
      </w:r>
      <w:r w:rsidR="00C12C13" w:rsidRPr="009F6F2A">
        <w:rPr>
          <w:szCs w:val="22"/>
        </w:rPr>
        <w:t>January</w:t>
      </w:r>
      <w:r w:rsidRPr="009F6F2A">
        <w:rPr>
          <w:szCs w:val="22"/>
        </w:rPr>
        <w:t xml:space="preserve"> 1, 201</w:t>
      </w:r>
      <w:r w:rsidR="00C12C13" w:rsidRPr="009F6F2A">
        <w:rPr>
          <w:szCs w:val="22"/>
        </w:rPr>
        <w:t>5</w:t>
      </w:r>
      <w:r w:rsidR="00DF4775">
        <w:rPr>
          <w:szCs w:val="22"/>
        </w:rPr>
        <w:t xml:space="preserve">. </w:t>
      </w:r>
      <w:r w:rsidR="001F3D9E">
        <w:rPr>
          <w:szCs w:val="22"/>
        </w:rPr>
        <w:t xml:space="preserve"> </w:t>
      </w:r>
      <w:r w:rsidR="00DF4775">
        <w:rPr>
          <w:szCs w:val="22"/>
        </w:rPr>
        <w:t>I am</w:t>
      </w:r>
      <w:r w:rsidRPr="009F6F2A">
        <w:rPr>
          <w:szCs w:val="22"/>
        </w:rPr>
        <w:t xml:space="preserve"> a</w:t>
      </w:r>
      <w:r w:rsidR="00C12C13" w:rsidRPr="009F6F2A">
        <w:rPr>
          <w:szCs w:val="22"/>
        </w:rPr>
        <w:t xml:space="preserve"> </w:t>
      </w:r>
      <w:r w:rsidR="00560ABF">
        <w:rPr>
          <w:szCs w:val="22"/>
        </w:rPr>
        <w:t>Financial</w:t>
      </w:r>
      <w:r w:rsidR="00C12C13" w:rsidRPr="009F6F2A">
        <w:rPr>
          <w:szCs w:val="22"/>
        </w:rPr>
        <w:t xml:space="preserve"> Analyst</w:t>
      </w:r>
      <w:r w:rsidR="00DF4775">
        <w:rPr>
          <w:szCs w:val="22"/>
        </w:rPr>
        <w:t xml:space="preserve"> </w:t>
      </w:r>
      <w:r w:rsidR="00FD46EE">
        <w:rPr>
          <w:szCs w:val="22"/>
        </w:rPr>
        <w:t>in the Rate Regulation Division</w:t>
      </w:r>
      <w:r w:rsidRPr="009F6F2A">
        <w:rPr>
          <w:szCs w:val="22"/>
        </w:rPr>
        <w:t xml:space="preserve">. </w:t>
      </w:r>
    </w:p>
    <w:p w14:paraId="72E079EC" w14:textId="77777777" w:rsidR="00EC04D1" w:rsidRDefault="00EC04D1" w:rsidP="00E932E7">
      <w:pPr>
        <w:tabs>
          <w:tab w:val="left" w:pos="720"/>
        </w:tabs>
        <w:spacing w:line="240" w:lineRule="auto"/>
        <w:ind w:left="720" w:hanging="720"/>
        <w:jc w:val="both"/>
        <w:rPr>
          <w:szCs w:val="22"/>
        </w:rPr>
      </w:pPr>
    </w:p>
    <w:p w14:paraId="0473B964" w14:textId="6F815B5A" w:rsidR="004322A4" w:rsidRPr="009F6F2A" w:rsidRDefault="004322A4" w:rsidP="00204A6E">
      <w:pPr>
        <w:tabs>
          <w:tab w:val="left" w:pos="720"/>
        </w:tabs>
        <w:spacing w:line="480" w:lineRule="exact"/>
        <w:jc w:val="both"/>
        <w:rPr>
          <w:szCs w:val="22"/>
        </w:rPr>
      </w:pPr>
      <w:r w:rsidRPr="009F6F2A">
        <w:rPr>
          <w:b/>
          <w:szCs w:val="22"/>
        </w:rPr>
        <w:t>Q.</w:t>
      </w:r>
      <w:r w:rsidRPr="009F6F2A">
        <w:rPr>
          <w:szCs w:val="22"/>
        </w:rPr>
        <w:tab/>
      </w:r>
      <w:r w:rsidRPr="00420FD0">
        <w:rPr>
          <w:b/>
          <w:szCs w:val="22"/>
        </w:rPr>
        <w:t>What are your principal responsibilities at the Commission</w:t>
      </w:r>
      <w:r w:rsidRPr="009F6F2A">
        <w:rPr>
          <w:b/>
          <w:szCs w:val="22"/>
        </w:rPr>
        <w:t>?</w:t>
      </w:r>
    </w:p>
    <w:p w14:paraId="669BF0DE" w14:textId="0EB6A5D9" w:rsidR="00C12C13" w:rsidRDefault="004322A4" w:rsidP="00204A6E">
      <w:pPr>
        <w:numPr>
          <w:ilvl w:val="12"/>
          <w:numId w:val="0"/>
        </w:numPr>
        <w:tabs>
          <w:tab w:val="left" w:pos="720"/>
        </w:tabs>
        <w:spacing w:line="480" w:lineRule="exact"/>
        <w:ind w:left="720" w:hanging="720"/>
        <w:jc w:val="both"/>
        <w:rPr>
          <w:szCs w:val="22"/>
        </w:rPr>
      </w:pPr>
      <w:r w:rsidRPr="009F6F2A">
        <w:rPr>
          <w:szCs w:val="22"/>
        </w:rPr>
        <w:t>A.</w:t>
      </w:r>
      <w:r w:rsidRPr="009F6F2A">
        <w:rPr>
          <w:szCs w:val="22"/>
        </w:rPr>
        <w:tab/>
      </w:r>
      <w:r w:rsidR="00FD46EE">
        <w:rPr>
          <w:szCs w:val="22"/>
        </w:rPr>
        <w:t xml:space="preserve">My principal responsibilities at the Commission </w:t>
      </w:r>
      <w:r w:rsidR="00DF4775">
        <w:rPr>
          <w:szCs w:val="22"/>
        </w:rPr>
        <w:t>include reviewing</w:t>
      </w:r>
      <w:r w:rsidR="00DF4775" w:rsidRPr="009F6F2A">
        <w:rPr>
          <w:szCs w:val="22"/>
        </w:rPr>
        <w:t xml:space="preserve"> </w:t>
      </w:r>
      <w:r w:rsidR="00A73B34" w:rsidRPr="009F6F2A">
        <w:rPr>
          <w:szCs w:val="22"/>
        </w:rPr>
        <w:t>tariff</w:t>
      </w:r>
      <w:r w:rsidR="00E839F1">
        <w:rPr>
          <w:szCs w:val="22"/>
        </w:rPr>
        <w:t xml:space="preserve"> and </w:t>
      </w:r>
      <w:r w:rsidR="00177F59">
        <w:rPr>
          <w:szCs w:val="22"/>
        </w:rPr>
        <w:t>rate</w:t>
      </w:r>
      <w:r w:rsidR="00A73B34" w:rsidRPr="009F6F2A">
        <w:rPr>
          <w:szCs w:val="22"/>
        </w:rPr>
        <w:t xml:space="preserve"> change applications</w:t>
      </w:r>
      <w:r w:rsidR="007B3184">
        <w:rPr>
          <w:szCs w:val="22"/>
        </w:rPr>
        <w:t xml:space="preserve"> </w:t>
      </w:r>
      <w:r w:rsidR="00A73B34" w:rsidRPr="009F6F2A">
        <w:rPr>
          <w:szCs w:val="22"/>
        </w:rPr>
        <w:t xml:space="preserve">and </w:t>
      </w:r>
      <w:r w:rsidR="00C00053">
        <w:rPr>
          <w:szCs w:val="22"/>
        </w:rPr>
        <w:t>appeals</w:t>
      </w:r>
      <w:r w:rsidR="00A73B34" w:rsidRPr="009F6F2A">
        <w:rPr>
          <w:szCs w:val="22"/>
        </w:rPr>
        <w:t>.  I am also responsible for preparing testimony and exhibits for contested case matters involving investor-owned, non-profit</w:t>
      </w:r>
      <w:r w:rsidR="00E839F1">
        <w:rPr>
          <w:szCs w:val="22"/>
        </w:rPr>
        <w:t>,</w:t>
      </w:r>
      <w:r w:rsidR="00A73B34" w:rsidRPr="009F6F2A">
        <w:rPr>
          <w:szCs w:val="22"/>
        </w:rPr>
        <w:t xml:space="preserve"> and governmental water and sewer</w:t>
      </w:r>
      <w:r w:rsidR="005D33B4">
        <w:rPr>
          <w:szCs w:val="22"/>
        </w:rPr>
        <w:t xml:space="preserve"> retail public</w:t>
      </w:r>
      <w:r w:rsidR="00A73B34" w:rsidRPr="009F6F2A">
        <w:rPr>
          <w:szCs w:val="22"/>
        </w:rPr>
        <w:t xml:space="preserve"> utilities</w:t>
      </w:r>
      <w:r w:rsidR="00AF0615">
        <w:rPr>
          <w:szCs w:val="22"/>
        </w:rPr>
        <w:t xml:space="preserve"> and </w:t>
      </w:r>
      <w:r w:rsidR="005D33B4">
        <w:rPr>
          <w:szCs w:val="22"/>
        </w:rPr>
        <w:t>wholesale matters</w:t>
      </w:r>
      <w:r w:rsidR="00AF0615">
        <w:rPr>
          <w:szCs w:val="22"/>
        </w:rPr>
        <w:t xml:space="preserve"> as well as</w:t>
      </w:r>
      <w:r w:rsidR="00F84F0E">
        <w:rPr>
          <w:szCs w:val="22"/>
        </w:rPr>
        <w:t xml:space="preserve"> </w:t>
      </w:r>
      <w:r w:rsidR="003B7CC1">
        <w:rPr>
          <w:szCs w:val="22"/>
        </w:rPr>
        <w:t>participating in</w:t>
      </w:r>
      <w:r w:rsidR="00F84F0E">
        <w:rPr>
          <w:szCs w:val="22"/>
        </w:rPr>
        <w:t xml:space="preserve"> settlement negotiations</w:t>
      </w:r>
      <w:r w:rsidR="00A73B34" w:rsidRPr="009F6F2A">
        <w:rPr>
          <w:szCs w:val="22"/>
        </w:rPr>
        <w:t>.</w:t>
      </w:r>
      <w:r w:rsidR="00C12C13" w:rsidRPr="009F6F2A">
        <w:rPr>
          <w:szCs w:val="22"/>
        </w:rPr>
        <w:t xml:space="preserve">   </w:t>
      </w:r>
    </w:p>
    <w:p w14:paraId="10053C0B" w14:textId="77777777" w:rsidR="00EC04D1" w:rsidRDefault="00EC04D1" w:rsidP="00E932E7">
      <w:pPr>
        <w:numPr>
          <w:ilvl w:val="12"/>
          <w:numId w:val="0"/>
        </w:numPr>
        <w:tabs>
          <w:tab w:val="left" w:pos="720"/>
        </w:tabs>
        <w:spacing w:line="240" w:lineRule="auto"/>
        <w:ind w:left="720" w:hanging="720"/>
        <w:jc w:val="both"/>
        <w:rPr>
          <w:szCs w:val="22"/>
        </w:rPr>
      </w:pPr>
    </w:p>
    <w:p w14:paraId="07744FB1" w14:textId="77777777" w:rsidR="004322A4" w:rsidRPr="00420FD0" w:rsidRDefault="004322A4" w:rsidP="00204A6E">
      <w:pPr>
        <w:numPr>
          <w:ilvl w:val="12"/>
          <w:numId w:val="0"/>
        </w:numPr>
        <w:tabs>
          <w:tab w:val="left" w:pos="720"/>
        </w:tabs>
        <w:spacing w:line="480" w:lineRule="exact"/>
        <w:ind w:left="720" w:hanging="720"/>
        <w:jc w:val="both"/>
        <w:rPr>
          <w:b/>
          <w:szCs w:val="22"/>
        </w:rPr>
      </w:pPr>
      <w:r w:rsidRPr="009F6F2A">
        <w:rPr>
          <w:b/>
          <w:szCs w:val="22"/>
        </w:rPr>
        <w:t>Q.</w:t>
      </w:r>
      <w:r w:rsidRPr="009F6F2A">
        <w:rPr>
          <w:b/>
          <w:szCs w:val="22"/>
        </w:rPr>
        <w:tab/>
      </w:r>
      <w:r w:rsidRPr="00420FD0">
        <w:rPr>
          <w:b/>
          <w:szCs w:val="22"/>
        </w:rPr>
        <w:t>Please state your educational background and professional experience.</w:t>
      </w:r>
    </w:p>
    <w:p w14:paraId="6C657EBB" w14:textId="5B6DA66B" w:rsidR="00944E19" w:rsidRDefault="004322A4" w:rsidP="00204A6E">
      <w:pPr>
        <w:numPr>
          <w:ilvl w:val="12"/>
          <w:numId w:val="0"/>
        </w:numPr>
        <w:tabs>
          <w:tab w:val="left" w:pos="720"/>
        </w:tabs>
        <w:spacing w:line="480" w:lineRule="exact"/>
        <w:ind w:left="720" w:hanging="720"/>
        <w:jc w:val="both"/>
        <w:rPr>
          <w:szCs w:val="22"/>
        </w:rPr>
      </w:pPr>
      <w:r w:rsidRPr="009F6F2A">
        <w:rPr>
          <w:szCs w:val="22"/>
        </w:rPr>
        <w:t>A.</w:t>
      </w:r>
      <w:r w:rsidRPr="009F6F2A">
        <w:rPr>
          <w:szCs w:val="22"/>
        </w:rPr>
        <w:tab/>
        <w:t xml:space="preserve">I have provided a summary of my educational background and professional </w:t>
      </w:r>
      <w:r w:rsidR="00A73B34" w:rsidRPr="009F6F2A">
        <w:rPr>
          <w:szCs w:val="22"/>
        </w:rPr>
        <w:t xml:space="preserve">experience in </w:t>
      </w:r>
      <w:r w:rsidR="00A73B34" w:rsidRPr="00856403">
        <w:rPr>
          <w:szCs w:val="22"/>
        </w:rPr>
        <w:t>Attachment ES</w:t>
      </w:r>
      <w:r w:rsidRPr="00856403">
        <w:rPr>
          <w:szCs w:val="22"/>
        </w:rPr>
        <w:t>-</w:t>
      </w:r>
      <w:r w:rsidR="00A73B34" w:rsidRPr="00856403">
        <w:rPr>
          <w:szCs w:val="22"/>
        </w:rPr>
        <w:t>1</w:t>
      </w:r>
      <w:r w:rsidRPr="00856403">
        <w:rPr>
          <w:szCs w:val="22"/>
        </w:rPr>
        <w:t xml:space="preserve"> </w:t>
      </w:r>
      <w:r w:rsidRPr="009F6F2A">
        <w:rPr>
          <w:szCs w:val="22"/>
        </w:rPr>
        <w:t>to my direct testimony.</w:t>
      </w:r>
    </w:p>
    <w:p w14:paraId="18964921" w14:textId="77777777" w:rsidR="00204A6E" w:rsidRDefault="00204A6E" w:rsidP="00E932E7">
      <w:pPr>
        <w:numPr>
          <w:ilvl w:val="12"/>
          <w:numId w:val="0"/>
        </w:numPr>
        <w:tabs>
          <w:tab w:val="left" w:pos="720"/>
        </w:tabs>
        <w:spacing w:line="240" w:lineRule="auto"/>
        <w:ind w:left="720" w:hanging="720"/>
        <w:jc w:val="both"/>
        <w:rPr>
          <w:szCs w:val="22"/>
        </w:rPr>
      </w:pPr>
    </w:p>
    <w:p w14:paraId="72C21444" w14:textId="77777777" w:rsidR="004322A4" w:rsidRPr="00944E19" w:rsidRDefault="004322A4" w:rsidP="00204A6E">
      <w:pPr>
        <w:numPr>
          <w:ilvl w:val="12"/>
          <w:numId w:val="0"/>
        </w:numPr>
        <w:tabs>
          <w:tab w:val="left" w:pos="720"/>
        </w:tabs>
        <w:spacing w:line="480" w:lineRule="exact"/>
        <w:ind w:left="720" w:hanging="720"/>
        <w:jc w:val="both"/>
        <w:rPr>
          <w:szCs w:val="22"/>
        </w:rPr>
      </w:pPr>
      <w:r w:rsidRPr="00944E19">
        <w:rPr>
          <w:b/>
          <w:bCs/>
          <w:szCs w:val="22"/>
        </w:rPr>
        <w:t>Q.</w:t>
      </w:r>
      <w:r w:rsidRPr="00944E19">
        <w:rPr>
          <w:b/>
          <w:bCs/>
          <w:szCs w:val="22"/>
        </w:rPr>
        <w:tab/>
        <w:t>Have you</w:t>
      </w:r>
      <w:r w:rsidR="00A73B34" w:rsidRPr="00944E19">
        <w:rPr>
          <w:b/>
          <w:bCs/>
          <w:szCs w:val="22"/>
        </w:rPr>
        <w:t xml:space="preserve"> previously testified before this</w:t>
      </w:r>
      <w:r w:rsidRPr="00944E19">
        <w:rPr>
          <w:b/>
          <w:bCs/>
          <w:szCs w:val="22"/>
        </w:rPr>
        <w:t xml:space="preserve"> Commission or the State Office of Administrative Hearings (SOAH)?</w:t>
      </w:r>
    </w:p>
    <w:p w14:paraId="1A906F4A" w14:textId="2DAD60BF" w:rsidR="004322A4" w:rsidRDefault="006A44DF" w:rsidP="00204A6E">
      <w:pPr>
        <w:tabs>
          <w:tab w:val="left" w:pos="720"/>
        </w:tabs>
        <w:spacing w:line="480" w:lineRule="exact"/>
        <w:ind w:left="720" w:hanging="720"/>
        <w:jc w:val="both"/>
        <w:rPr>
          <w:szCs w:val="22"/>
        </w:rPr>
      </w:pPr>
      <w:r w:rsidRPr="00944E19">
        <w:rPr>
          <w:szCs w:val="22"/>
        </w:rPr>
        <w:t>A.</w:t>
      </w:r>
      <w:r w:rsidRPr="00944E19">
        <w:rPr>
          <w:szCs w:val="22"/>
        </w:rPr>
        <w:tab/>
      </w:r>
      <w:r w:rsidR="00560ABF" w:rsidRPr="00944E19">
        <w:rPr>
          <w:szCs w:val="22"/>
        </w:rPr>
        <w:t xml:space="preserve">Yes. </w:t>
      </w:r>
      <w:r w:rsidR="00A73B34" w:rsidRPr="00944E19">
        <w:rPr>
          <w:szCs w:val="22"/>
        </w:rPr>
        <w:t xml:space="preserve"> I have</w:t>
      </w:r>
      <w:r w:rsidR="00560ABF" w:rsidRPr="00944E19">
        <w:rPr>
          <w:szCs w:val="22"/>
        </w:rPr>
        <w:t xml:space="preserve"> also</w:t>
      </w:r>
      <w:r w:rsidR="00A73B34" w:rsidRPr="00944E19">
        <w:rPr>
          <w:szCs w:val="22"/>
        </w:rPr>
        <w:t xml:space="preserve"> testified before the P</w:t>
      </w:r>
      <w:r w:rsidR="009F6F2A" w:rsidRPr="00944E19">
        <w:rPr>
          <w:szCs w:val="22"/>
        </w:rPr>
        <w:t>ennsylvania Public Utility Commission</w:t>
      </w:r>
      <w:r w:rsidR="00A73B34" w:rsidRPr="00944E19">
        <w:rPr>
          <w:szCs w:val="22"/>
        </w:rPr>
        <w:t>.</w:t>
      </w:r>
      <w:r w:rsidR="004322A4" w:rsidRPr="00944E19">
        <w:rPr>
          <w:szCs w:val="22"/>
        </w:rPr>
        <w:t xml:space="preserve"> </w:t>
      </w:r>
      <w:r w:rsidR="009F6F2A" w:rsidRPr="00944E19">
        <w:rPr>
          <w:szCs w:val="22"/>
        </w:rPr>
        <w:t xml:space="preserve"> </w:t>
      </w:r>
      <w:r w:rsidR="00A73B34" w:rsidRPr="00944E19">
        <w:rPr>
          <w:szCs w:val="22"/>
        </w:rPr>
        <w:t>Attachment ES-</w:t>
      </w:r>
      <w:r w:rsidR="009F6F2A" w:rsidRPr="00944E19">
        <w:rPr>
          <w:szCs w:val="22"/>
        </w:rPr>
        <w:t>2</w:t>
      </w:r>
      <w:r w:rsidR="00A73B34" w:rsidRPr="00944E19">
        <w:rPr>
          <w:szCs w:val="22"/>
        </w:rPr>
        <w:t xml:space="preserve"> provides a summary of the </w:t>
      </w:r>
      <w:r w:rsidR="009F6F2A" w:rsidRPr="00944E19">
        <w:rPr>
          <w:szCs w:val="22"/>
        </w:rPr>
        <w:t>cases</w:t>
      </w:r>
      <w:r w:rsidR="00A73B34" w:rsidRPr="00944E19">
        <w:rPr>
          <w:szCs w:val="22"/>
        </w:rPr>
        <w:t xml:space="preserve"> in which I have testified or submitted testimony.</w:t>
      </w:r>
    </w:p>
    <w:p w14:paraId="6F653CAD" w14:textId="77777777" w:rsidR="008F2C2F" w:rsidRDefault="008F2C2F" w:rsidP="00204A6E">
      <w:pPr>
        <w:tabs>
          <w:tab w:val="left" w:pos="720"/>
        </w:tabs>
        <w:spacing w:line="480" w:lineRule="exact"/>
        <w:ind w:left="720" w:hanging="720"/>
        <w:jc w:val="both"/>
        <w:rPr>
          <w:szCs w:val="22"/>
        </w:rPr>
      </w:pPr>
    </w:p>
    <w:p w14:paraId="320A23A7" w14:textId="77777777" w:rsidR="003D01DB" w:rsidRPr="00C12C13" w:rsidRDefault="003D01DB" w:rsidP="00204A6E">
      <w:pPr>
        <w:pStyle w:val="Heading1"/>
        <w:spacing w:line="480" w:lineRule="exact"/>
        <w:ind w:left="720" w:hanging="720"/>
        <w:jc w:val="both"/>
      </w:pPr>
      <w:bookmarkStart w:id="2" w:name="_Toc54606358"/>
      <w:r w:rsidRPr="00C12C13">
        <w:lastRenderedPageBreak/>
        <w:t>PURPOSE AND SCOPE OF TESTIMONY</w:t>
      </w:r>
      <w:bookmarkEnd w:id="2"/>
    </w:p>
    <w:p w14:paraId="4A06993B" w14:textId="77777777" w:rsidR="00EC652F" w:rsidRPr="008974D6" w:rsidRDefault="00EC652F" w:rsidP="00204A6E">
      <w:pPr>
        <w:widowControl/>
        <w:spacing w:line="480" w:lineRule="exact"/>
        <w:ind w:left="720" w:hanging="720"/>
        <w:jc w:val="both"/>
        <w:rPr>
          <w:b/>
          <w:bCs/>
          <w:color w:val="000000" w:themeColor="text1"/>
        </w:rPr>
      </w:pPr>
      <w:r w:rsidRPr="008974D6">
        <w:rPr>
          <w:b/>
          <w:color w:val="000000" w:themeColor="text1"/>
        </w:rPr>
        <w:t>Q.</w:t>
      </w:r>
      <w:r w:rsidRPr="008974D6">
        <w:rPr>
          <w:color w:val="000000" w:themeColor="text1"/>
        </w:rPr>
        <w:t xml:space="preserve"> </w:t>
      </w:r>
      <w:r w:rsidRPr="008974D6">
        <w:rPr>
          <w:color w:val="000000" w:themeColor="text1"/>
        </w:rPr>
        <w:tab/>
      </w:r>
      <w:r w:rsidRPr="008974D6">
        <w:rPr>
          <w:b/>
          <w:color w:val="000000" w:themeColor="text1"/>
        </w:rPr>
        <w:t>What is</w:t>
      </w:r>
      <w:r w:rsidRPr="008974D6">
        <w:rPr>
          <w:color w:val="000000" w:themeColor="text1"/>
        </w:rPr>
        <w:t xml:space="preserve"> </w:t>
      </w:r>
      <w:r w:rsidRPr="008974D6">
        <w:rPr>
          <w:b/>
          <w:bCs/>
          <w:color w:val="000000" w:themeColor="text1"/>
        </w:rPr>
        <w:t>the purpose of your testimony in this proceeding?</w:t>
      </w:r>
    </w:p>
    <w:p w14:paraId="7A3144EC" w14:textId="57093500" w:rsidR="001A4799" w:rsidRDefault="00EC652F" w:rsidP="00204A6E">
      <w:pPr>
        <w:tabs>
          <w:tab w:val="left" w:pos="-1440"/>
        </w:tabs>
        <w:spacing w:line="480" w:lineRule="exact"/>
        <w:ind w:left="720" w:hanging="720"/>
        <w:jc w:val="both"/>
        <w:rPr>
          <w:color w:val="000000" w:themeColor="text1"/>
        </w:rPr>
      </w:pPr>
      <w:r w:rsidRPr="008974D6">
        <w:rPr>
          <w:color w:val="000000" w:themeColor="text1"/>
        </w:rPr>
        <w:t xml:space="preserve">A. </w:t>
      </w:r>
      <w:r w:rsidR="00200B56" w:rsidRPr="008974D6">
        <w:rPr>
          <w:color w:val="000000" w:themeColor="text1"/>
        </w:rPr>
        <w:tab/>
      </w:r>
      <w:r w:rsidRPr="008974D6">
        <w:rPr>
          <w:color w:val="000000" w:themeColor="text1"/>
        </w:rPr>
        <w:t xml:space="preserve">The purpose of my testimony is to </w:t>
      </w:r>
      <w:r w:rsidR="001A4799" w:rsidRPr="008974D6">
        <w:rPr>
          <w:color w:val="000000" w:themeColor="text1"/>
        </w:rPr>
        <w:t>present a recommendation</w:t>
      </w:r>
      <w:r w:rsidR="00FD46EE" w:rsidRPr="008974D6">
        <w:rPr>
          <w:color w:val="000000" w:themeColor="text1"/>
        </w:rPr>
        <w:t xml:space="preserve"> for the rate of return</w:t>
      </w:r>
      <w:r w:rsidR="00E839F1">
        <w:rPr>
          <w:color w:val="000000" w:themeColor="text1"/>
        </w:rPr>
        <w:t xml:space="preserve"> (ROR) and accumulated deferred federal income taxes (ADFIT)</w:t>
      </w:r>
      <w:r w:rsidR="00FD46EE" w:rsidRPr="008974D6">
        <w:rPr>
          <w:color w:val="000000" w:themeColor="text1"/>
        </w:rPr>
        <w:t xml:space="preserve"> for</w:t>
      </w:r>
      <w:r w:rsidR="008974D6">
        <w:rPr>
          <w:color w:val="000000" w:themeColor="text1"/>
        </w:rPr>
        <w:t xml:space="preserve"> </w:t>
      </w:r>
      <w:r w:rsidR="00E839F1">
        <w:rPr>
          <w:color w:val="000000" w:themeColor="text1"/>
        </w:rPr>
        <w:t>Monarch Utilities I, L.P.</w:t>
      </w:r>
      <w:r w:rsidR="008974D6">
        <w:rPr>
          <w:color w:val="000000" w:themeColor="text1"/>
        </w:rPr>
        <w:t xml:space="preserve"> (</w:t>
      </w:r>
      <w:r w:rsidR="00E839F1">
        <w:rPr>
          <w:color w:val="000000" w:themeColor="text1"/>
        </w:rPr>
        <w:t>Monarch or Company</w:t>
      </w:r>
      <w:r w:rsidR="008974D6" w:rsidRPr="008974D6">
        <w:rPr>
          <w:color w:val="000000" w:themeColor="text1"/>
        </w:rPr>
        <w:t>)</w:t>
      </w:r>
      <w:r w:rsidR="00883058">
        <w:rPr>
          <w:color w:val="000000" w:themeColor="text1"/>
        </w:rPr>
        <w:t>.  More specifically, I address the issues of Monarch’s</w:t>
      </w:r>
      <w:r w:rsidR="00FD46EE" w:rsidRPr="008974D6">
        <w:rPr>
          <w:color w:val="000000" w:themeColor="text1"/>
        </w:rPr>
        <w:t xml:space="preserve"> capital structure, cost of debt, cost of equity, overall rate of return</w:t>
      </w:r>
      <w:r w:rsidR="00E839F1">
        <w:rPr>
          <w:color w:val="000000" w:themeColor="text1"/>
        </w:rPr>
        <w:t>, ADFIT and excess ADFIT</w:t>
      </w:r>
      <w:r w:rsidR="008A71E9" w:rsidRPr="008974D6">
        <w:rPr>
          <w:color w:val="000000" w:themeColor="text1"/>
        </w:rPr>
        <w:t>.</w:t>
      </w:r>
      <w:r w:rsidR="001A4799" w:rsidRPr="008974D6">
        <w:rPr>
          <w:color w:val="000000" w:themeColor="text1"/>
        </w:rPr>
        <w:t xml:space="preserve"> </w:t>
      </w:r>
    </w:p>
    <w:p w14:paraId="17432628" w14:textId="77777777" w:rsidR="00EC04D1" w:rsidRDefault="00EC04D1" w:rsidP="00E932E7">
      <w:pPr>
        <w:tabs>
          <w:tab w:val="left" w:pos="-1440"/>
        </w:tabs>
        <w:spacing w:line="240" w:lineRule="auto"/>
        <w:ind w:left="720" w:hanging="720"/>
        <w:jc w:val="both"/>
        <w:rPr>
          <w:color w:val="000000" w:themeColor="text1"/>
        </w:rPr>
      </w:pPr>
    </w:p>
    <w:p w14:paraId="4F2DFF6E" w14:textId="77777777" w:rsidR="00EC652F" w:rsidRPr="008974D6" w:rsidRDefault="00EC652F" w:rsidP="00204A6E">
      <w:pPr>
        <w:widowControl/>
        <w:spacing w:line="480" w:lineRule="exact"/>
        <w:ind w:left="720" w:hanging="720"/>
        <w:jc w:val="both"/>
        <w:rPr>
          <w:b/>
          <w:color w:val="000000" w:themeColor="text1"/>
        </w:rPr>
      </w:pPr>
      <w:r w:rsidRPr="008974D6">
        <w:rPr>
          <w:b/>
          <w:color w:val="000000" w:themeColor="text1"/>
        </w:rPr>
        <w:t>Q.</w:t>
      </w:r>
      <w:r w:rsidRPr="008974D6">
        <w:rPr>
          <w:color w:val="000000" w:themeColor="text1"/>
        </w:rPr>
        <w:t xml:space="preserve"> </w:t>
      </w:r>
      <w:r w:rsidRPr="008974D6">
        <w:rPr>
          <w:color w:val="000000" w:themeColor="text1"/>
        </w:rPr>
        <w:tab/>
      </w:r>
      <w:r w:rsidRPr="008974D6">
        <w:rPr>
          <w:b/>
          <w:color w:val="000000" w:themeColor="text1"/>
        </w:rPr>
        <w:t xml:space="preserve">What is </w:t>
      </w:r>
      <w:r w:rsidRPr="008974D6">
        <w:rPr>
          <w:b/>
          <w:bCs/>
          <w:color w:val="000000" w:themeColor="text1"/>
        </w:rPr>
        <w:t xml:space="preserve">the scope </w:t>
      </w:r>
      <w:r w:rsidRPr="008974D6">
        <w:rPr>
          <w:b/>
          <w:color w:val="000000" w:themeColor="text1"/>
        </w:rPr>
        <w:t>of your review?</w:t>
      </w:r>
    </w:p>
    <w:p w14:paraId="41C31D85" w14:textId="26CB66F0" w:rsidR="00583549" w:rsidRDefault="00EC652F" w:rsidP="00204A6E">
      <w:pPr>
        <w:widowControl/>
        <w:spacing w:line="480" w:lineRule="exact"/>
        <w:ind w:left="720" w:hanging="720"/>
        <w:jc w:val="both"/>
        <w:rPr>
          <w:rFonts w:eastAsia="PMingLiU"/>
          <w:color w:val="000000" w:themeColor="text1"/>
        </w:rPr>
      </w:pPr>
      <w:r w:rsidRPr="008974D6">
        <w:rPr>
          <w:color w:val="000000" w:themeColor="text1"/>
        </w:rPr>
        <w:t xml:space="preserve">A. </w:t>
      </w:r>
      <w:r w:rsidRPr="008974D6">
        <w:rPr>
          <w:color w:val="000000" w:themeColor="text1"/>
        </w:rPr>
        <w:tab/>
      </w:r>
      <w:r w:rsidR="00822CE3" w:rsidRPr="008974D6">
        <w:rPr>
          <w:rFonts w:eastAsia="PMingLiU"/>
          <w:color w:val="000000" w:themeColor="text1"/>
        </w:rPr>
        <w:t>I reviewed the</w:t>
      </w:r>
      <w:r w:rsidR="008A71E9" w:rsidRPr="008974D6">
        <w:rPr>
          <w:rFonts w:eastAsia="PMingLiU"/>
          <w:color w:val="000000" w:themeColor="text1"/>
        </w:rPr>
        <w:t xml:space="preserve"> </w:t>
      </w:r>
      <w:r w:rsidR="00575849" w:rsidRPr="008974D6">
        <w:rPr>
          <w:rFonts w:eastAsia="PMingLiU"/>
          <w:color w:val="000000" w:themeColor="text1"/>
        </w:rPr>
        <w:t>Company’s</w:t>
      </w:r>
      <w:r w:rsidR="008974D6" w:rsidRPr="008974D6">
        <w:rPr>
          <w:rFonts w:eastAsia="PMingLiU"/>
          <w:color w:val="000000" w:themeColor="text1"/>
        </w:rPr>
        <w:t xml:space="preserve"> a</w:t>
      </w:r>
      <w:r w:rsidR="008A71E9" w:rsidRPr="008974D6">
        <w:rPr>
          <w:rFonts w:eastAsia="PMingLiU"/>
          <w:color w:val="000000" w:themeColor="text1"/>
        </w:rPr>
        <w:t>pplication</w:t>
      </w:r>
      <w:r w:rsidR="00AF0615">
        <w:rPr>
          <w:rFonts w:eastAsia="PMingLiU"/>
          <w:color w:val="000000" w:themeColor="text1"/>
        </w:rPr>
        <w:t xml:space="preserve"> including </w:t>
      </w:r>
      <w:r w:rsidR="002E7524" w:rsidRPr="008974D6">
        <w:rPr>
          <w:rFonts w:eastAsia="PMingLiU"/>
          <w:color w:val="000000" w:themeColor="text1"/>
        </w:rPr>
        <w:t xml:space="preserve">pre-filed direct </w:t>
      </w:r>
      <w:r w:rsidR="005D33B4" w:rsidRPr="008974D6">
        <w:rPr>
          <w:rFonts w:eastAsia="PMingLiU"/>
          <w:color w:val="000000" w:themeColor="text1"/>
        </w:rPr>
        <w:t>testimon</w:t>
      </w:r>
      <w:r w:rsidR="00FD46EE" w:rsidRPr="008974D6">
        <w:rPr>
          <w:rFonts w:eastAsia="PMingLiU"/>
          <w:color w:val="000000" w:themeColor="text1"/>
        </w:rPr>
        <w:t>y</w:t>
      </w:r>
      <w:r w:rsidR="008974D6">
        <w:rPr>
          <w:rFonts w:eastAsia="PMingLiU"/>
          <w:color w:val="000000" w:themeColor="text1"/>
        </w:rPr>
        <w:t xml:space="preserve"> and the Company'</w:t>
      </w:r>
      <w:r w:rsidR="00171D70">
        <w:rPr>
          <w:rFonts w:eastAsia="PMingLiU"/>
          <w:color w:val="000000" w:themeColor="text1"/>
        </w:rPr>
        <w:t>s responses to Requests for Information (RFI).</w:t>
      </w:r>
    </w:p>
    <w:p w14:paraId="6438DC54" w14:textId="77777777" w:rsidR="00EC04D1" w:rsidRDefault="00EC04D1" w:rsidP="00E932E7">
      <w:pPr>
        <w:widowControl/>
        <w:spacing w:line="240" w:lineRule="auto"/>
        <w:ind w:left="720" w:hanging="720"/>
        <w:jc w:val="both"/>
        <w:rPr>
          <w:rFonts w:eastAsia="PMingLiU"/>
          <w:color w:val="000000" w:themeColor="text1"/>
        </w:rPr>
      </w:pPr>
    </w:p>
    <w:p w14:paraId="0D6473C8" w14:textId="77777777" w:rsidR="00B71E2B" w:rsidRPr="00095824" w:rsidRDefault="00B71E2B" w:rsidP="00204A6E">
      <w:pPr>
        <w:spacing w:line="480" w:lineRule="exact"/>
        <w:ind w:left="720" w:hanging="720"/>
        <w:jc w:val="both"/>
        <w:rPr>
          <w:b/>
          <w:bCs/>
        </w:rPr>
      </w:pPr>
      <w:r>
        <w:rPr>
          <w:b/>
          <w:bCs/>
        </w:rPr>
        <w:t xml:space="preserve">Q.  </w:t>
      </w:r>
      <w:r>
        <w:rPr>
          <w:b/>
          <w:bCs/>
        </w:rPr>
        <w:tab/>
      </w:r>
      <w:r w:rsidRPr="00095824">
        <w:rPr>
          <w:b/>
          <w:bCs/>
        </w:rPr>
        <w:t>If you do not address an issue or position in your testimony, should that be interpreted as Staff supporting Monarch’s position on that issue?</w:t>
      </w:r>
    </w:p>
    <w:p w14:paraId="10FDB8AB" w14:textId="0B94DB9A" w:rsidR="00944E19" w:rsidRDefault="00B71E2B" w:rsidP="00204A6E">
      <w:pPr>
        <w:spacing w:line="480" w:lineRule="exact"/>
        <w:ind w:left="720" w:hanging="720"/>
        <w:jc w:val="both"/>
      </w:pPr>
      <w:r>
        <w:t xml:space="preserve">A. </w:t>
      </w:r>
      <w:r w:rsidR="001F3D9E">
        <w:tab/>
      </w:r>
      <w:r>
        <w:t>No.</w:t>
      </w:r>
    </w:p>
    <w:p w14:paraId="68B96208" w14:textId="77777777" w:rsidR="00204A6E" w:rsidRDefault="00204A6E" w:rsidP="00E932E7">
      <w:pPr>
        <w:spacing w:line="240" w:lineRule="auto"/>
        <w:ind w:left="720" w:hanging="720"/>
        <w:jc w:val="both"/>
      </w:pPr>
    </w:p>
    <w:p w14:paraId="3BB3515A" w14:textId="5A7F7D9B" w:rsidR="00171D70" w:rsidRDefault="00171D70" w:rsidP="00204A6E">
      <w:pPr>
        <w:widowControl/>
        <w:spacing w:line="480" w:lineRule="exact"/>
        <w:ind w:left="720" w:hanging="720"/>
        <w:jc w:val="both"/>
        <w:rPr>
          <w:rFonts w:eastAsia="PMingLiU"/>
          <w:b/>
          <w:color w:val="000000" w:themeColor="text1"/>
        </w:rPr>
      </w:pPr>
      <w:r w:rsidRPr="00171D70">
        <w:rPr>
          <w:rFonts w:eastAsia="PMingLiU"/>
          <w:b/>
          <w:color w:val="000000" w:themeColor="text1"/>
        </w:rPr>
        <w:t>Q.</w:t>
      </w:r>
      <w:r w:rsidRPr="00171D70">
        <w:rPr>
          <w:rFonts w:eastAsia="PMingLiU"/>
          <w:b/>
          <w:color w:val="000000" w:themeColor="text1"/>
        </w:rPr>
        <w:tab/>
      </w:r>
      <w:r>
        <w:rPr>
          <w:rFonts w:eastAsia="PMingLiU"/>
          <w:b/>
          <w:color w:val="000000" w:themeColor="text1"/>
        </w:rPr>
        <w:t xml:space="preserve">What </w:t>
      </w:r>
      <w:r w:rsidR="00E1498F">
        <w:rPr>
          <w:rFonts w:eastAsia="PMingLiU"/>
          <w:b/>
          <w:color w:val="000000" w:themeColor="text1"/>
        </w:rPr>
        <w:t>standards did you apply in addressing the reasonableness of Monarch’s requested return</w:t>
      </w:r>
      <w:r>
        <w:rPr>
          <w:rFonts w:eastAsia="PMingLiU"/>
          <w:b/>
          <w:color w:val="000000" w:themeColor="text1"/>
        </w:rPr>
        <w:t>?</w:t>
      </w:r>
    </w:p>
    <w:p w14:paraId="05503883" w14:textId="4407564A" w:rsidR="00171D70" w:rsidRPr="00944E19" w:rsidRDefault="00DF66B7" w:rsidP="00204A6E">
      <w:pPr>
        <w:spacing w:line="480" w:lineRule="exact"/>
        <w:ind w:left="720" w:hanging="720"/>
      </w:pPr>
      <w:r w:rsidRPr="00944E19">
        <w:t xml:space="preserve">A. </w:t>
      </w:r>
      <w:r w:rsidRPr="00944E19">
        <w:tab/>
      </w:r>
      <w:r w:rsidR="00E1498F" w:rsidRPr="00944E19">
        <w:t>I applied the following standards</w:t>
      </w:r>
      <w:r w:rsidR="00171D70" w:rsidRPr="00944E19">
        <w:t>:</w:t>
      </w:r>
    </w:p>
    <w:p w14:paraId="55D2C793" w14:textId="77777777" w:rsidR="00F95BCD" w:rsidRPr="00944E19" w:rsidRDefault="00171D70" w:rsidP="004375C8">
      <w:pPr>
        <w:pStyle w:val="ListParagraph"/>
        <w:numPr>
          <w:ilvl w:val="0"/>
          <w:numId w:val="32"/>
        </w:numPr>
        <w:spacing w:after="240" w:line="480" w:lineRule="exact"/>
        <w:ind w:left="1440"/>
        <w:jc w:val="both"/>
        <w:rPr>
          <w:szCs w:val="26"/>
        </w:rPr>
      </w:pPr>
      <w:r w:rsidRPr="00944E19">
        <w:rPr>
          <w:szCs w:val="26"/>
        </w:rPr>
        <w:t>16 TAC § 24.31(c)(1)</w:t>
      </w:r>
      <w:r w:rsidR="00883058" w:rsidRPr="00944E19">
        <w:rPr>
          <w:szCs w:val="26"/>
        </w:rPr>
        <w:t>, which</w:t>
      </w:r>
      <w:r w:rsidRPr="00944E19">
        <w:rPr>
          <w:szCs w:val="26"/>
        </w:rPr>
        <w:t xml:space="preserve"> states:</w:t>
      </w:r>
    </w:p>
    <w:p w14:paraId="7B69F31F" w14:textId="4A51B4A7" w:rsidR="00171D70" w:rsidRDefault="00171D70" w:rsidP="00204A6E">
      <w:pPr>
        <w:spacing w:line="240" w:lineRule="auto"/>
        <w:ind w:left="1800" w:right="893" w:hanging="1296"/>
        <w:jc w:val="both"/>
        <w:rPr>
          <w:szCs w:val="26"/>
        </w:rPr>
      </w:pPr>
      <w:r w:rsidRPr="00944E19">
        <w:rPr>
          <w:szCs w:val="26"/>
        </w:rPr>
        <w:tab/>
        <w:t>The Commission shall allow each utility a reasonable opportunity to</w:t>
      </w:r>
      <w:r w:rsidR="00EC04D1" w:rsidRPr="00944E19">
        <w:rPr>
          <w:szCs w:val="26"/>
        </w:rPr>
        <w:t xml:space="preserve"> </w:t>
      </w:r>
      <w:r w:rsidRPr="00944E19">
        <w:rPr>
          <w:szCs w:val="26"/>
        </w:rPr>
        <w:t>earn a reasonable rate of return…and shall fix the rate of return in accordance with the following principles.  The return should be reasonably sufficient to assure confidence in the financial soundness of the utility and should be adequate, under efficient and economical management, to maintain and support its credit and enable it to raise the money necessary for the proper discharge of its public duties.</w:t>
      </w:r>
    </w:p>
    <w:p w14:paraId="4E25DCD5" w14:textId="77777777" w:rsidR="00171D70" w:rsidRDefault="00171D70" w:rsidP="00204A6E">
      <w:pPr>
        <w:suppressLineNumbers/>
        <w:spacing w:line="480" w:lineRule="exact"/>
        <w:ind w:left="1800" w:right="893" w:hanging="1296"/>
        <w:jc w:val="both"/>
        <w:rPr>
          <w:szCs w:val="26"/>
        </w:rPr>
      </w:pPr>
    </w:p>
    <w:p w14:paraId="37DCEE92" w14:textId="6B3EBB9B" w:rsidR="00204A6E" w:rsidRDefault="00376209" w:rsidP="00E932E7">
      <w:pPr>
        <w:pStyle w:val="BodyTextIndent2"/>
        <w:keepNext/>
        <w:widowControl/>
        <w:numPr>
          <w:ilvl w:val="0"/>
          <w:numId w:val="33"/>
        </w:numPr>
        <w:autoSpaceDE/>
        <w:autoSpaceDN/>
        <w:adjustRightInd/>
        <w:spacing w:after="240" w:line="240" w:lineRule="exact"/>
        <w:ind w:left="1440"/>
        <w:jc w:val="both"/>
      </w:pPr>
      <w:r>
        <w:lastRenderedPageBreak/>
        <w:t>Two decisions of the U.S. Supreme Court:</w:t>
      </w:r>
    </w:p>
    <w:p w14:paraId="611C8B56" w14:textId="77777777" w:rsidR="00376209" w:rsidRDefault="00376209" w:rsidP="00204A6E">
      <w:pPr>
        <w:pStyle w:val="BodyTextIndent2"/>
        <w:widowControl/>
        <w:numPr>
          <w:ilvl w:val="0"/>
          <w:numId w:val="34"/>
        </w:numPr>
        <w:autoSpaceDE/>
        <w:autoSpaceDN/>
        <w:adjustRightInd/>
        <w:spacing w:after="0" w:line="240" w:lineRule="auto"/>
        <w:ind w:left="2160" w:right="1267" w:hanging="360"/>
        <w:jc w:val="both"/>
        <w:rPr>
          <w:color w:val="000000"/>
        </w:rPr>
      </w:pPr>
      <w:r w:rsidRPr="0025217B">
        <w:rPr>
          <w:color w:val="000000"/>
        </w:rPr>
        <w:t>Bluefield Water Works &amp; Improvement Co. v. Public Service Commission of West Virginia</w:t>
      </w:r>
      <w:r w:rsidRPr="008C3387">
        <w:rPr>
          <w:color w:val="000000"/>
        </w:rPr>
        <w:t xml:space="preserve"> (</w:t>
      </w:r>
      <w:r w:rsidRPr="008C3387">
        <w:rPr>
          <w:i/>
          <w:color w:val="000000"/>
        </w:rPr>
        <w:t>Bluefield</w:t>
      </w:r>
      <w:r w:rsidRPr="008C3387">
        <w:rPr>
          <w:color w:val="000000"/>
        </w:rPr>
        <w:t>);</w:t>
      </w:r>
      <w:r>
        <w:rPr>
          <w:rStyle w:val="FootnoteReference"/>
        </w:rPr>
        <w:footnoteReference w:id="1"/>
      </w:r>
      <w:r w:rsidRPr="008C3387">
        <w:rPr>
          <w:color w:val="000000"/>
        </w:rPr>
        <w:t xml:space="preserve"> </w:t>
      </w:r>
      <w:r>
        <w:rPr>
          <w:color w:val="000000"/>
        </w:rPr>
        <w:t>and</w:t>
      </w:r>
    </w:p>
    <w:p w14:paraId="5844E067" w14:textId="5066ED62" w:rsidR="008F2C2F" w:rsidRDefault="00376209" w:rsidP="004375C8">
      <w:pPr>
        <w:pStyle w:val="BodyTextIndent2"/>
        <w:widowControl/>
        <w:numPr>
          <w:ilvl w:val="0"/>
          <w:numId w:val="34"/>
        </w:numPr>
        <w:autoSpaceDE/>
        <w:autoSpaceDN/>
        <w:adjustRightInd/>
        <w:spacing w:after="0" w:line="480" w:lineRule="exact"/>
        <w:ind w:left="2160" w:right="1267" w:hanging="360"/>
        <w:jc w:val="both"/>
      </w:pPr>
      <w:r w:rsidRPr="0025217B">
        <w:t>Fed</w:t>
      </w:r>
      <w:r>
        <w:t>eral</w:t>
      </w:r>
      <w:r w:rsidRPr="0025217B">
        <w:t xml:space="preserve"> Power Comm</w:t>
      </w:r>
      <w:r>
        <w:t>ission</w:t>
      </w:r>
      <w:r w:rsidRPr="0025217B">
        <w:t xml:space="preserve"> v. Hope Nat</w:t>
      </w:r>
      <w:r>
        <w:t>ural</w:t>
      </w:r>
      <w:r w:rsidRPr="0025217B">
        <w:t xml:space="preserve"> Gas Co.</w:t>
      </w:r>
      <w:r w:rsidRPr="006F4F12">
        <w:t xml:space="preserve"> (</w:t>
      </w:r>
      <w:r w:rsidRPr="00204A6E">
        <w:rPr>
          <w:i/>
        </w:rPr>
        <w:t>Hope</w:t>
      </w:r>
      <w:r>
        <w:t>).</w:t>
      </w:r>
      <w:r>
        <w:rPr>
          <w:rStyle w:val="FootnoteReference"/>
        </w:rPr>
        <w:footnoteReference w:id="2"/>
      </w:r>
    </w:p>
    <w:p w14:paraId="50CC61E7" w14:textId="77777777" w:rsidR="0047702D" w:rsidRDefault="0047702D" w:rsidP="004375C8">
      <w:pPr>
        <w:pStyle w:val="BodyTextIndent2"/>
        <w:widowControl/>
        <w:autoSpaceDE/>
        <w:autoSpaceDN/>
        <w:adjustRightInd/>
        <w:spacing w:after="0" w:line="480" w:lineRule="exact"/>
        <w:ind w:left="0" w:right="1267"/>
        <w:jc w:val="both"/>
      </w:pPr>
    </w:p>
    <w:p w14:paraId="1985050E" w14:textId="52379047" w:rsidR="006273AB" w:rsidRDefault="006273AB" w:rsidP="00204A6E">
      <w:pPr>
        <w:pStyle w:val="Heading1"/>
        <w:spacing w:line="480" w:lineRule="exact"/>
        <w:ind w:left="720" w:hanging="720"/>
        <w:jc w:val="both"/>
      </w:pPr>
      <w:bookmarkStart w:id="3" w:name="_Toc54606359"/>
      <w:r>
        <w:t>ADFIT</w:t>
      </w:r>
      <w:bookmarkEnd w:id="3"/>
    </w:p>
    <w:p w14:paraId="38A6D80C" w14:textId="513749DF" w:rsidR="006273AB" w:rsidRDefault="00FA7F13" w:rsidP="00204A6E">
      <w:pPr>
        <w:spacing w:line="480" w:lineRule="exact"/>
        <w:ind w:left="720" w:hanging="720"/>
        <w:rPr>
          <w:b/>
          <w:bCs/>
        </w:rPr>
      </w:pPr>
      <w:r>
        <w:rPr>
          <w:b/>
          <w:bCs/>
        </w:rPr>
        <w:t>Q.</w:t>
      </w:r>
      <w:r>
        <w:rPr>
          <w:b/>
          <w:bCs/>
        </w:rPr>
        <w:tab/>
      </w:r>
      <w:r w:rsidR="000C29FB">
        <w:rPr>
          <w:b/>
          <w:bCs/>
        </w:rPr>
        <w:t xml:space="preserve">Please define the term </w:t>
      </w:r>
      <w:r w:rsidR="00A94D00">
        <w:rPr>
          <w:b/>
          <w:bCs/>
        </w:rPr>
        <w:t>“</w:t>
      </w:r>
      <w:r w:rsidR="000C29FB">
        <w:rPr>
          <w:b/>
          <w:bCs/>
        </w:rPr>
        <w:t>ADFIT</w:t>
      </w:r>
      <w:r w:rsidR="00883058">
        <w:rPr>
          <w:b/>
          <w:bCs/>
        </w:rPr>
        <w:t>.</w:t>
      </w:r>
      <w:r w:rsidR="00A94D00">
        <w:rPr>
          <w:b/>
          <w:bCs/>
        </w:rPr>
        <w:t>”</w:t>
      </w:r>
    </w:p>
    <w:p w14:paraId="5AFBDF9D" w14:textId="32A48008" w:rsidR="00EC04D1" w:rsidRDefault="000C29FB" w:rsidP="00E932E7">
      <w:pPr>
        <w:spacing w:line="480" w:lineRule="exact"/>
        <w:ind w:left="720" w:hanging="720"/>
        <w:jc w:val="both"/>
      </w:pPr>
      <w:r>
        <w:t>A.</w:t>
      </w:r>
      <w:r>
        <w:tab/>
        <w:t xml:space="preserve">ADFIT </w:t>
      </w:r>
      <w:r w:rsidR="00A94D00">
        <w:t>stands for</w:t>
      </w:r>
      <w:r>
        <w:t xml:space="preserve"> accumulated deferred federal income taxes.  </w:t>
      </w:r>
      <w:r w:rsidR="00592B1C">
        <w:t xml:space="preserve">ADFIT </w:t>
      </w:r>
      <w:r>
        <w:t xml:space="preserve">represents the </w:t>
      </w:r>
      <w:r w:rsidR="00C44062">
        <w:t xml:space="preserve">accumulated </w:t>
      </w:r>
      <w:r w:rsidR="00883058">
        <w:t xml:space="preserve">balance of </w:t>
      </w:r>
      <w:r>
        <w:t xml:space="preserve">federal income taxes </w:t>
      </w:r>
      <w:r w:rsidR="00883058">
        <w:t xml:space="preserve">whose payment has been deferred because of </w:t>
      </w:r>
      <w:r>
        <w:t xml:space="preserve">timing differences related to when </w:t>
      </w:r>
      <w:r w:rsidR="00915652">
        <w:t xml:space="preserve">a company receives </w:t>
      </w:r>
      <w:r>
        <w:t>revenues for</w:t>
      </w:r>
      <w:r w:rsidR="00915652">
        <w:t xml:space="preserve"> the tax-related amounts in its cost of service</w:t>
      </w:r>
      <w:r>
        <w:t xml:space="preserve"> and when </w:t>
      </w:r>
      <w:r w:rsidR="00915652">
        <w:t xml:space="preserve">the company subsequently pays </w:t>
      </w:r>
      <w:r>
        <w:t xml:space="preserve">these funds to the government.  </w:t>
      </w:r>
      <w:r w:rsidR="00A166D7">
        <w:t xml:space="preserve">The most common </w:t>
      </w:r>
      <w:r>
        <w:t xml:space="preserve">example of </w:t>
      </w:r>
      <w:r w:rsidR="00A166D7">
        <w:t xml:space="preserve">how such a </w:t>
      </w:r>
      <w:r>
        <w:t xml:space="preserve">timing difference </w:t>
      </w:r>
      <w:r w:rsidR="00A166D7">
        <w:t>arises</w:t>
      </w:r>
      <w:r w:rsidR="00F907FB">
        <w:t xml:space="preserve"> is</w:t>
      </w:r>
      <w:r w:rsidR="00A166D7">
        <w:t xml:space="preserve"> when a company uses</w:t>
      </w:r>
      <w:r>
        <w:t xml:space="preserve"> straight-line depreciation for setting rates </w:t>
      </w:r>
      <w:r w:rsidR="00A166D7">
        <w:t xml:space="preserve">but uses </w:t>
      </w:r>
      <w:r>
        <w:t xml:space="preserve">accelerated depreciation for tax purposes.  Until </w:t>
      </w:r>
      <w:r w:rsidR="00A166D7">
        <w:t xml:space="preserve">the company pays </w:t>
      </w:r>
      <w:r>
        <w:t xml:space="preserve">these funds to the government, </w:t>
      </w:r>
      <w:r w:rsidR="00A166D7">
        <w:t>it</w:t>
      </w:r>
      <w:r>
        <w:t xml:space="preserve"> has use of the funds.  ADFIT is therefore considered a source of interest-free funds to the utility </w:t>
      </w:r>
      <w:r w:rsidR="00A166D7">
        <w:t xml:space="preserve">(i.e., it is cost-free capital) </w:t>
      </w:r>
      <w:r>
        <w:t xml:space="preserve">and </w:t>
      </w:r>
      <w:r w:rsidR="00915652">
        <w:t xml:space="preserve">thus </w:t>
      </w:r>
      <w:r>
        <w:t xml:space="preserve">deducted from the </w:t>
      </w:r>
      <w:r w:rsidR="00915652">
        <w:t xml:space="preserve">utility’s </w:t>
      </w:r>
      <w:r>
        <w:t>rate base.</w:t>
      </w:r>
    </w:p>
    <w:p w14:paraId="6BD07A03" w14:textId="77777777" w:rsidR="00E932E7" w:rsidRDefault="00E932E7" w:rsidP="00E932E7">
      <w:pPr>
        <w:spacing w:line="240" w:lineRule="auto"/>
        <w:ind w:left="720" w:hanging="720"/>
        <w:jc w:val="both"/>
      </w:pPr>
    </w:p>
    <w:p w14:paraId="6B5A1D81" w14:textId="45D86AC2" w:rsidR="000C29FB" w:rsidRDefault="000C29FB" w:rsidP="00204A6E">
      <w:pPr>
        <w:spacing w:line="480" w:lineRule="exact"/>
        <w:ind w:left="720" w:hanging="720"/>
        <w:jc w:val="both"/>
        <w:rPr>
          <w:b/>
          <w:bCs/>
        </w:rPr>
      </w:pPr>
      <w:r>
        <w:rPr>
          <w:b/>
          <w:bCs/>
        </w:rPr>
        <w:t>Q.</w:t>
      </w:r>
      <w:r>
        <w:rPr>
          <w:b/>
          <w:bCs/>
        </w:rPr>
        <w:tab/>
        <w:t>What did Monarch claim for ADFIT?</w:t>
      </w:r>
    </w:p>
    <w:p w14:paraId="7106D8D0" w14:textId="1B8EC242" w:rsidR="00592B1C" w:rsidRDefault="000C29FB" w:rsidP="00204A6E">
      <w:pPr>
        <w:spacing w:line="480" w:lineRule="exact"/>
        <w:ind w:left="720" w:hanging="720"/>
        <w:jc w:val="both"/>
      </w:pPr>
      <w:r>
        <w:t>A.</w:t>
      </w:r>
      <w:r>
        <w:tab/>
        <w:t xml:space="preserve">Monarch’s ADFIT claim was $831,540 </w:t>
      </w:r>
      <w:r w:rsidR="00592B1C">
        <w:t xml:space="preserve">collectively </w:t>
      </w:r>
      <w:r>
        <w:t xml:space="preserve">for both water and sewer.  Monarch also claimed an excess ADFIT </w:t>
      </w:r>
      <w:r w:rsidR="00592B1C">
        <w:t xml:space="preserve">amount </w:t>
      </w:r>
      <w:r>
        <w:t xml:space="preserve">of $407,802 </w:t>
      </w:r>
      <w:r w:rsidR="00592B1C">
        <w:t xml:space="preserve">collectively </w:t>
      </w:r>
      <w:r>
        <w:t>for both water and sewer.</w:t>
      </w:r>
      <w:r w:rsidR="00A94D00">
        <w:rPr>
          <w:rStyle w:val="FootnoteReference"/>
        </w:rPr>
        <w:footnoteReference w:id="3"/>
      </w:r>
    </w:p>
    <w:p w14:paraId="5C55DE21" w14:textId="77777777" w:rsidR="008F2C2F" w:rsidRDefault="008F2C2F" w:rsidP="00E932E7">
      <w:pPr>
        <w:spacing w:line="240" w:lineRule="auto"/>
        <w:ind w:left="720" w:hanging="720"/>
        <w:jc w:val="both"/>
        <w:rPr>
          <w:b/>
          <w:bCs/>
        </w:rPr>
      </w:pPr>
    </w:p>
    <w:p w14:paraId="7A575DF1" w14:textId="40BE3722" w:rsidR="000C29FB" w:rsidRDefault="000C29FB" w:rsidP="00204A6E">
      <w:pPr>
        <w:spacing w:line="480" w:lineRule="exact"/>
        <w:ind w:left="720" w:hanging="720"/>
        <w:jc w:val="both"/>
        <w:rPr>
          <w:b/>
          <w:bCs/>
        </w:rPr>
      </w:pPr>
      <w:r>
        <w:rPr>
          <w:b/>
          <w:bCs/>
        </w:rPr>
        <w:t>Q.</w:t>
      </w:r>
      <w:r>
        <w:rPr>
          <w:b/>
          <w:bCs/>
        </w:rPr>
        <w:tab/>
        <w:t>What is excess ADFIT?</w:t>
      </w:r>
    </w:p>
    <w:p w14:paraId="306ACE2F" w14:textId="58DDC489" w:rsidR="00592B1C" w:rsidRDefault="000C29FB" w:rsidP="00204A6E">
      <w:pPr>
        <w:spacing w:line="480" w:lineRule="exact"/>
        <w:ind w:left="720" w:hanging="720"/>
        <w:jc w:val="both"/>
      </w:pPr>
      <w:r>
        <w:t>A.</w:t>
      </w:r>
      <w:r>
        <w:tab/>
        <w:t xml:space="preserve">Excess ADFIT is the balance of ADFIT that </w:t>
      </w:r>
      <w:r w:rsidR="00915652">
        <w:t xml:space="preserve">a company </w:t>
      </w:r>
      <w:r>
        <w:t xml:space="preserve">collected </w:t>
      </w:r>
      <w:r w:rsidR="00915652">
        <w:t>based on</w:t>
      </w:r>
      <w:r>
        <w:t xml:space="preserve"> the prior </w:t>
      </w:r>
      <w:r w:rsidR="00592B1C">
        <w:t xml:space="preserve">federal </w:t>
      </w:r>
      <w:r>
        <w:t>income tax rate of 3</w:t>
      </w:r>
      <w:r w:rsidR="00011B60">
        <w:t>4</w:t>
      </w:r>
      <w:r>
        <w:t xml:space="preserve">% </w:t>
      </w:r>
      <w:r w:rsidR="00915652">
        <w:t xml:space="preserve">that is in excess of the amount related to </w:t>
      </w:r>
      <w:r>
        <w:t xml:space="preserve">the new </w:t>
      </w:r>
      <w:r w:rsidR="00915652">
        <w:t xml:space="preserve">21% </w:t>
      </w:r>
      <w:r w:rsidR="00592B1C">
        <w:t xml:space="preserve">federal </w:t>
      </w:r>
      <w:r>
        <w:t xml:space="preserve">income </w:t>
      </w:r>
      <w:r>
        <w:lastRenderedPageBreak/>
        <w:t>tax rate result</w:t>
      </w:r>
      <w:r w:rsidR="00915652">
        <w:t>ing</w:t>
      </w:r>
      <w:r>
        <w:t xml:space="preserve"> </w:t>
      </w:r>
      <w:r w:rsidR="00915652">
        <w:t xml:space="preserve">from </w:t>
      </w:r>
      <w:r>
        <w:t xml:space="preserve">the Tax Cuts and Jobs Act </w:t>
      </w:r>
      <w:r w:rsidR="00011B60">
        <w:t>(TCJA)</w:t>
      </w:r>
      <w:r>
        <w:t>.  Th</w:t>
      </w:r>
      <w:r w:rsidR="0019278F">
        <w:t xml:space="preserve">e appropriate treatment for these excess balances </w:t>
      </w:r>
      <w:r>
        <w:t>is</w:t>
      </w:r>
      <w:r w:rsidR="0019278F">
        <w:t xml:space="preserve"> for the company to refund such amounts </w:t>
      </w:r>
      <w:r>
        <w:t>to customers.</w:t>
      </w:r>
    </w:p>
    <w:p w14:paraId="4EC9AFFC" w14:textId="77777777" w:rsidR="00EC04D1" w:rsidRDefault="00EC04D1" w:rsidP="00E932E7">
      <w:pPr>
        <w:spacing w:line="240" w:lineRule="auto"/>
        <w:ind w:left="720" w:hanging="720"/>
        <w:jc w:val="both"/>
      </w:pPr>
    </w:p>
    <w:p w14:paraId="6AE0E584" w14:textId="08EC5E7E" w:rsidR="000C29FB" w:rsidRDefault="000C29FB" w:rsidP="00204A6E">
      <w:pPr>
        <w:spacing w:line="480" w:lineRule="exact"/>
        <w:ind w:left="720" w:hanging="720"/>
        <w:jc w:val="both"/>
        <w:rPr>
          <w:b/>
          <w:bCs/>
        </w:rPr>
      </w:pPr>
      <w:r>
        <w:rPr>
          <w:b/>
          <w:bCs/>
        </w:rPr>
        <w:t>Q.</w:t>
      </w:r>
      <w:r>
        <w:rPr>
          <w:b/>
          <w:bCs/>
        </w:rPr>
        <w:tab/>
        <w:t>Did Monarch adjust its claimed amount?</w:t>
      </w:r>
    </w:p>
    <w:p w14:paraId="6742567E" w14:textId="77777777" w:rsidR="00204A6E" w:rsidRDefault="000C29FB" w:rsidP="00204A6E">
      <w:pPr>
        <w:spacing w:line="480" w:lineRule="exact"/>
        <w:ind w:left="720" w:hanging="720"/>
        <w:jc w:val="both"/>
      </w:pPr>
      <w:r>
        <w:t>A.</w:t>
      </w:r>
      <w:r>
        <w:tab/>
        <w:t>I am not aware of an official adjustment to the cost of service</w:t>
      </w:r>
      <w:r w:rsidR="00915652">
        <w:t>;</w:t>
      </w:r>
      <w:r>
        <w:t xml:space="preserve"> however, in response to Staff’s RFI</w:t>
      </w:r>
      <w:r w:rsidR="005652D0">
        <w:t xml:space="preserve"> 3-6, Monarch claimed </w:t>
      </w:r>
      <w:r w:rsidR="00915652">
        <w:t xml:space="preserve">it </w:t>
      </w:r>
      <w:r w:rsidR="005652D0">
        <w:t xml:space="preserve">had made an error, and reduced the </w:t>
      </w:r>
      <w:r w:rsidR="006F138E">
        <w:t>depreciation used to calculate ADFIT</w:t>
      </w:r>
      <w:r w:rsidR="005652D0">
        <w:t xml:space="preserve"> from </w:t>
      </w:r>
      <w:r w:rsidR="00154625">
        <w:t>$590,760</w:t>
      </w:r>
      <w:r w:rsidR="00154625">
        <w:rPr>
          <w:rStyle w:val="FootnoteReference"/>
        </w:rPr>
        <w:footnoteReference w:id="4"/>
      </w:r>
      <w:r w:rsidR="006F138E">
        <w:t xml:space="preserve"> to $131,092.</w:t>
      </w:r>
      <w:r w:rsidR="006F138E">
        <w:rPr>
          <w:rStyle w:val="FootnoteReference"/>
        </w:rPr>
        <w:footnoteReference w:id="5"/>
      </w:r>
    </w:p>
    <w:p w14:paraId="5D898E27" w14:textId="185746C3" w:rsidR="00592B1C" w:rsidRDefault="006F138E" w:rsidP="00E932E7">
      <w:pPr>
        <w:spacing w:line="240" w:lineRule="auto"/>
        <w:ind w:left="720" w:hanging="720"/>
        <w:jc w:val="both"/>
      </w:pPr>
      <w:r>
        <w:t xml:space="preserve">  </w:t>
      </w:r>
    </w:p>
    <w:p w14:paraId="74C65D72" w14:textId="18E45FE6" w:rsidR="006F138E" w:rsidRDefault="006F138E" w:rsidP="00204A6E">
      <w:pPr>
        <w:spacing w:line="480" w:lineRule="exact"/>
        <w:ind w:left="720" w:hanging="720"/>
        <w:jc w:val="both"/>
        <w:rPr>
          <w:b/>
          <w:bCs/>
        </w:rPr>
      </w:pPr>
      <w:r>
        <w:rPr>
          <w:b/>
          <w:bCs/>
        </w:rPr>
        <w:t>Q.</w:t>
      </w:r>
      <w:r>
        <w:rPr>
          <w:b/>
          <w:bCs/>
        </w:rPr>
        <w:tab/>
        <w:t>Do you agree with Monarch’s ADFIT claim?</w:t>
      </w:r>
    </w:p>
    <w:p w14:paraId="365A8BB0" w14:textId="313EF039" w:rsidR="000735A2" w:rsidRDefault="006F138E" w:rsidP="00204A6E">
      <w:pPr>
        <w:spacing w:line="480" w:lineRule="exact"/>
        <w:ind w:left="720" w:hanging="720"/>
        <w:jc w:val="both"/>
      </w:pPr>
      <w:r>
        <w:t>A.</w:t>
      </w:r>
      <w:r>
        <w:tab/>
        <w:t>No.  As shown in response to Staff</w:t>
      </w:r>
      <w:r w:rsidR="000735A2">
        <w:t xml:space="preserve">’s Third Set of </w:t>
      </w:r>
      <w:r>
        <w:t>RFI</w:t>
      </w:r>
      <w:r w:rsidR="000735A2">
        <w:t>s</w:t>
      </w:r>
      <w:r>
        <w:t xml:space="preserve">, Monarch admits that </w:t>
      </w:r>
      <w:r w:rsidR="00731879">
        <w:t>it used accelerated depreciation on its taxes</w:t>
      </w:r>
      <w:r w:rsidR="00980541">
        <w:t xml:space="preserve"> and straight-line </w:t>
      </w:r>
      <w:r w:rsidR="000735A2">
        <w:t xml:space="preserve">depreciation </w:t>
      </w:r>
      <w:r w:rsidR="00980541">
        <w:t>in setting rates</w:t>
      </w:r>
      <w:r w:rsidR="0019278F">
        <w:t>,</w:t>
      </w:r>
      <w:r w:rsidR="00731879">
        <w:t xml:space="preserve"> and </w:t>
      </w:r>
      <w:r w:rsidR="0019278F">
        <w:t xml:space="preserve">that it </w:t>
      </w:r>
      <w:r w:rsidR="00731879">
        <w:t xml:space="preserve">therefore </w:t>
      </w:r>
      <w:r w:rsidR="0019278F">
        <w:t xml:space="preserve">has </w:t>
      </w:r>
      <w:r w:rsidR="00731879">
        <w:t>an ADFIT balance.</w:t>
      </w:r>
      <w:r w:rsidR="00C84562">
        <w:rPr>
          <w:rStyle w:val="FootnoteReference"/>
        </w:rPr>
        <w:footnoteReference w:id="6"/>
      </w:r>
      <w:r w:rsidR="00731879">
        <w:t xml:space="preserve"> </w:t>
      </w:r>
      <w:r w:rsidR="00980541">
        <w:t xml:space="preserve"> However, there are </w:t>
      </w:r>
      <w:r w:rsidR="000735A2">
        <w:t xml:space="preserve">issues </w:t>
      </w:r>
      <w:r w:rsidR="00980541">
        <w:t xml:space="preserve">with </w:t>
      </w:r>
      <w:r w:rsidR="000735A2">
        <w:t xml:space="preserve">Monarch’s </w:t>
      </w:r>
      <w:r w:rsidR="00C44062">
        <w:t xml:space="preserve">ADFIT </w:t>
      </w:r>
      <w:r w:rsidR="00980541">
        <w:t>calculations</w:t>
      </w:r>
      <w:r w:rsidR="00C44062">
        <w:t xml:space="preserve"> in this proceeding</w:t>
      </w:r>
      <w:r w:rsidR="00980541">
        <w:t>.</w:t>
      </w:r>
    </w:p>
    <w:p w14:paraId="56927E97" w14:textId="77777777" w:rsidR="00E65ED3" w:rsidRDefault="00E65ED3" w:rsidP="00E932E7">
      <w:pPr>
        <w:spacing w:line="240" w:lineRule="auto"/>
        <w:ind w:left="720" w:hanging="720"/>
        <w:jc w:val="both"/>
      </w:pPr>
    </w:p>
    <w:p w14:paraId="6246CA16" w14:textId="4E697A4E" w:rsidR="00980541" w:rsidRDefault="00980541" w:rsidP="00204A6E">
      <w:pPr>
        <w:spacing w:line="480" w:lineRule="exact"/>
        <w:ind w:left="720" w:hanging="720"/>
        <w:jc w:val="both"/>
        <w:rPr>
          <w:b/>
          <w:bCs/>
        </w:rPr>
      </w:pPr>
      <w:r>
        <w:rPr>
          <w:b/>
          <w:bCs/>
        </w:rPr>
        <w:t>Q.</w:t>
      </w:r>
      <w:r>
        <w:rPr>
          <w:b/>
          <w:bCs/>
        </w:rPr>
        <w:tab/>
        <w:t>Please</w:t>
      </w:r>
      <w:r w:rsidR="000735A2">
        <w:rPr>
          <w:b/>
          <w:bCs/>
        </w:rPr>
        <w:t xml:space="preserve"> explain</w:t>
      </w:r>
      <w:r>
        <w:rPr>
          <w:b/>
          <w:bCs/>
        </w:rPr>
        <w:t xml:space="preserve"> </w:t>
      </w:r>
      <w:r w:rsidR="000735A2">
        <w:rPr>
          <w:b/>
          <w:bCs/>
        </w:rPr>
        <w:t>Staff’s observations regarding Monarch’s ADFIT calculations.</w:t>
      </w:r>
    </w:p>
    <w:p w14:paraId="4DBF7391" w14:textId="7A65844D" w:rsidR="00980541" w:rsidRDefault="00980541" w:rsidP="00204A6E">
      <w:pPr>
        <w:spacing w:line="480" w:lineRule="exact"/>
        <w:ind w:left="720" w:hanging="720"/>
        <w:jc w:val="both"/>
      </w:pPr>
      <w:r>
        <w:t>A.</w:t>
      </w:r>
      <w:r>
        <w:tab/>
        <w:t xml:space="preserve">First, the original cost numbers between </w:t>
      </w:r>
      <w:r w:rsidR="000735A2">
        <w:t xml:space="preserve">Monarch’s </w:t>
      </w:r>
      <w:r>
        <w:t xml:space="preserve">schedules </w:t>
      </w:r>
      <w:r w:rsidR="0019278F">
        <w:t xml:space="preserve">do </w:t>
      </w:r>
      <w:r>
        <w:t xml:space="preserve">not match.  Schedule II-B shows a </w:t>
      </w:r>
      <w:r w:rsidR="0047702D">
        <w:t xml:space="preserve">combined </w:t>
      </w:r>
      <w:r>
        <w:t xml:space="preserve">total original cost of utility plant of $180,936,554.  Schedule II-E-3.3 shows a total original cost of utility plant for tax purposes of $37,694,911.  </w:t>
      </w:r>
      <w:r w:rsidR="00011B60">
        <w:t>This means that ADFIT</w:t>
      </w:r>
      <w:r w:rsidR="00C44062">
        <w:t xml:space="preserve"> and Excess ADFIT</w:t>
      </w:r>
      <w:r w:rsidR="00011B60">
        <w:t xml:space="preserve"> </w:t>
      </w:r>
      <w:r w:rsidR="00F907FB">
        <w:t>were</w:t>
      </w:r>
      <w:r w:rsidR="00011B60">
        <w:t xml:space="preserve"> not calculated on $143,241,643 of </w:t>
      </w:r>
      <w:r w:rsidR="000735A2">
        <w:t xml:space="preserve">utility </w:t>
      </w:r>
      <w:r w:rsidR="00011B60">
        <w:t>plant</w:t>
      </w:r>
      <w:r>
        <w:t xml:space="preserve">, even though </w:t>
      </w:r>
      <w:r w:rsidR="00011B60">
        <w:t>Monarch</w:t>
      </w:r>
      <w:r>
        <w:t xml:space="preserve"> has been collecting rates </w:t>
      </w:r>
      <w:r w:rsidR="00A76569">
        <w:t>using</w:t>
      </w:r>
      <w:r>
        <w:t xml:space="preserve"> straight-line</w:t>
      </w:r>
      <w:r w:rsidR="00A76569">
        <w:t xml:space="preserve"> depreciation</w:t>
      </w:r>
      <w:r>
        <w:t xml:space="preserve"> and paying taxes using accelerated</w:t>
      </w:r>
      <w:r w:rsidR="00A76569">
        <w:t xml:space="preserve"> depreciation</w:t>
      </w:r>
      <w:r>
        <w:t>, which creates the ADFIT liability.</w:t>
      </w:r>
    </w:p>
    <w:p w14:paraId="344336A8" w14:textId="3AB37A6F" w:rsidR="00E25BA7" w:rsidRDefault="00E25BA7" w:rsidP="00204A6E">
      <w:pPr>
        <w:spacing w:line="480" w:lineRule="exact"/>
        <w:ind w:left="720" w:hanging="720"/>
        <w:jc w:val="both"/>
      </w:pPr>
      <w:r>
        <w:tab/>
      </w:r>
      <w:r>
        <w:tab/>
      </w:r>
      <w:r>
        <w:tab/>
      </w:r>
      <w:r w:rsidR="0021055A">
        <w:tab/>
      </w:r>
      <w:r>
        <w:t xml:space="preserve">Second, </w:t>
      </w:r>
      <w:r w:rsidR="00C44062">
        <w:t xml:space="preserve">it appears that Monarch is not claiming an ADFIT balance prior to its last </w:t>
      </w:r>
      <w:r w:rsidR="00C44062">
        <w:lastRenderedPageBreak/>
        <w:t xml:space="preserve">rate case in 2015.  However, </w:t>
      </w:r>
      <w:r w:rsidR="000735A2">
        <w:t xml:space="preserve">Monarch </w:t>
      </w:r>
      <w:r w:rsidR="00C44062">
        <w:t xml:space="preserve">is not claiming that it began using accelerated depreciation in its last rate case.  Therefore, I believe the ADFIT and Excess ADFIT </w:t>
      </w:r>
      <w:r w:rsidR="000735A2">
        <w:t xml:space="preserve">amounts </w:t>
      </w:r>
      <w:r w:rsidR="00A76569">
        <w:t>claimed by Monarch</w:t>
      </w:r>
      <w:r w:rsidR="00C44062">
        <w:t xml:space="preserve"> are understated.  </w:t>
      </w:r>
    </w:p>
    <w:p w14:paraId="452FDACF" w14:textId="62ABEC8B" w:rsidR="00E25BA7" w:rsidRDefault="00E25BA7" w:rsidP="00204A6E">
      <w:pPr>
        <w:spacing w:line="480" w:lineRule="exact"/>
        <w:ind w:left="720" w:hanging="720"/>
        <w:jc w:val="both"/>
      </w:pPr>
      <w:r>
        <w:tab/>
      </w:r>
      <w:r>
        <w:tab/>
      </w:r>
      <w:r>
        <w:tab/>
      </w:r>
      <w:r w:rsidR="0021055A">
        <w:tab/>
      </w:r>
      <w:r>
        <w:t xml:space="preserve">Third, </w:t>
      </w:r>
      <w:r w:rsidR="00C44062">
        <w:t xml:space="preserve">on its supporting schedule in response to Staff RFI 3-6, the </w:t>
      </w:r>
      <w:r w:rsidR="00A76569">
        <w:t xml:space="preserve">total </w:t>
      </w:r>
      <w:r w:rsidR="00C44062">
        <w:t xml:space="preserve">original cost </w:t>
      </w:r>
      <w:r w:rsidR="0086796A">
        <w:t xml:space="preserve">of Monarch’s assets </w:t>
      </w:r>
      <w:r w:rsidR="00C44062">
        <w:t>for book purposes is $33,795,000, while the</w:t>
      </w:r>
      <w:r w:rsidR="00A76569">
        <w:t xml:space="preserve"> total</w:t>
      </w:r>
      <w:r w:rsidR="00C44062">
        <w:t xml:space="preserve"> original cost </w:t>
      </w:r>
      <w:r w:rsidR="0086796A">
        <w:t xml:space="preserve">of Monarch’s assets </w:t>
      </w:r>
      <w:r w:rsidR="00C44062">
        <w:t>for tax purposes is $35,876,410.  Monarch did not give an explanation for th</w:t>
      </w:r>
      <w:r w:rsidR="0086796A">
        <w:t>is</w:t>
      </w:r>
      <w:r w:rsidR="00C44062">
        <w:t xml:space="preserve"> difference in </w:t>
      </w:r>
      <w:r w:rsidR="0086796A">
        <w:t xml:space="preserve">the </w:t>
      </w:r>
      <w:r w:rsidR="00C44062">
        <w:t xml:space="preserve">original cost </w:t>
      </w:r>
      <w:r w:rsidR="0086796A">
        <w:t>of its assets</w:t>
      </w:r>
      <w:r w:rsidR="00C44062">
        <w:t xml:space="preserve">.  An example is line 1 of the schedule, where the book cost of the well pump is $3,495, while the tax cost of the same well pump is $3,053.  </w:t>
      </w:r>
      <w:r w:rsidR="00431A37">
        <w:t>Monarch provided</w:t>
      </w:r>
      <w:r w:rsidR="00C44062">
        <w:t xml:space="preserve"> no explanation for why the tax cost of the asset is $442 less than the same asset’s book value.</w:t>
      </w:r>
    </w:p>
    <w:p w14:paraId="74F620DF" w14:textId="05C0E643" w:rsidR="000F47CC" w:rsidRDefault="000F47CC" w:rsidP="00204A6E">
      <w:pPr>
        <w:spacing w:line="480" w:lineRule="exact"/>
        <w:ind w:left="720" w:hanging="720"/>
        <w:jc w:val="both"/>
      </w:pPr>
      <w:r>
        <w:tab/>
      </w:r>
      <w:r>
        <w:tab/>
      </w:r>
      <w:r>
        <w:tab/>
      </w:r>
      <w:r w:rsidR="0021055A">
        <w:tab/>
      </w:r>
      <w:r>
        <w:t>Fourth, it appears that there are some assets that have no book value but have a tax value and are used in the ADFIT calculation.</w:t>
      </w:r>
      <w:r w:rsidR="0086796A">
        <w:rPr>
          <w:rStyle w:val="FootnoteReference"/>
        </w:rPr>
        <w:footnoteReference w:id="7"/>
      </w:r>
      <w:r>
        <w:t xml:space="preserve">  If there is not an asset </w:t>
      </w:r>
      <w:r w:rsidR="00A76569">
        <w:t>recorded for the</w:t>
      </w:r>
      <w:r>
        <w:t xml:space="preserve"> book </w:t>
      </w:r>
      <w:r w:rsidR="00A76569">
        <w:t>value</w:t>
      </w:r>
      <w:r>
        <w:t xml:space="preserve">, then it should not be included in the ADFIT calculation because it is not a </w:t>
      </w:r>
      <w:r w:rsidR="00711725">
        <w:t xml:space="preserve">difference between straight-line depreciation and </w:t>
      </w:r>
      <w:r>
        <w:t>accelerated</w:t>
      </w:r>
      <w:r w:rsidR="00711725">
        <w:t xml:space="preserve"> depreciation</w:t>
      </w:r>
      <w:r>
        <w:t xml:space="preserve"> </w:t>
      </w:r>
      <w:r w:rsidR="00A76569">
        <w:t>for the assets in this case.</w:t>
      </w:r>
    </w:p>
    <w:p w14:paraId="4458BCAA" w14:textId="0973F216" w:rsidR="000735A2" w:rsidRDefault="00011B60" w:rsidP="00204A6E">
      <w:pPr>
        <w:spacing w:line="480" w:lineRule="exact"/>
        <w:ind w:left="720" w:hanging="720"/>
        <w:jc w:val="both"/>
      </w:pPr>
      <w:r>
        <w:tab/>
      </w:r>
      <w:r>
        <w:tab/>
      </w:r>
      <w:r>
        <w:tab/>
      </w:r>
      <w:r w:rsidR="0021055A">
        <w:tab/>
      </w:r>
      <w:r>
        <w:t xml:space="preserve">Finally, it appears that there are negative plant amounts for </w:t>
      </w:r>
      <w:r w:rsidR="000F47CC">
        <w:t>contributions in aid of construction (</w:t>
      </w:r>
      <w:r>
        <w:t>CIAC</w:t>
      </w:r>
      <w:r w:rsidR="000F47CC">
        <w:t>)</w:t>
      </w:r>
      <w:r>
        <w:t xml:space="preserve"> assets, without explanation</w:t>
      </w:r>
      <w:r w:rsidR="003E2473">
        <w:t xml:space="preserve"> by Monarch</w:t>
      </w:r>
      <w:r>
        <w:t xml:space="preserve">.  While </w:t>
      </w:r>
      <w:r w:rsidR="00431A37">
        <w:t xml:space="preserve">the </w:t>
      </w:r>
      <w:r>
        <w:t xml:space="preserve">TCJA did change the </w:t>
      </w:r>
      <w:r w:rsidR="006A1243">
        <w:t xml:space="preserve">treatment of </w:t>
      </w:r>
      <w:r>
        <w:t xml:space="preserve">CIAC </w:t>
      </w:r>
      <w:r w:rsidR="000F47CC">
        <w:t xml:space="preserve">for tax purposes, including CIAC assets </w:t>
      </w:r>
      <w:r w:rsidR="00EC2054">
        <w:t xml:space="preserve">or tax amounts </w:t>
      </w:r>
      <w:r w:rsidR="000F47CC">
        <w:t xml:space="preserve">in the calculation of ADFIT is not appropriate.  While the </w:t>
      </w:r>
      <w:r w:rsidR="00A76569">
        <w:t>C</w:t>
      </w:r>
      <w:r w:rsidR="000F47CC">
        <w:t xml:space="preserve">ommission has not expressly stated </w:t>
      </w:r>
      <w:r w:rsidR="00431A37">
        <w:t>an opinion on the treatment of</w:t>
      </w:r>
      <w:r w:rsidR="000F47CC">
        <w:t xml:space="preserve"> the taxes on CIAC amounts, </w:t>
      </w:r>
      <w:r w:rsidR="00711725">
        <w:t>such amounts a</w:t>
      </w:r>
      <w:r w:rsidR="000F47CC">
        <w:t xml:space="preserve">re not an asset </w:t>
      </w:r>
      <w:r w:rsidR="00431A37">
        <w:t>who</w:t>
      </w:r>
      <w:r w:rsidR="006A1243">
        <w:t>se</w:t>
      </w:r>
      <w:r w:rsidR="00431A37">
        <w:t xml:space="preserve"> depreciation expense for </w:t>
      </w:r>
      <w:r w:rsidR="006A1243">
        <w:t xml:space="preserve">the </w:t>
      </w:r>
      <w:r w:rsidR="00431A37">
        <w:t>determination</w:t>
      </w:r>
      <w:r w:rsidR="006A1243">
        <w:t xml:space="preserve"> of rates</w:t>
      </w:r>
      <w:r w:rsidR="00431A37">
        <w:t xml:space="preserve"> is different from its depreciation expense for </w:t>
      </w:r>
      <w:r w:rsidR="006A1243">
        <w:t xml:space="preserve">the determination of </w:t>
      </w:r>
      <w:r w:rsidR="00431A37">
        <w:t>tax</w:t>
      </w:r>
      <w:r w:rsidR="006A1243">
        <w:t>es</w:t>
      </w:r>
      <w:r w:rsidR="000F47CC">
        <w:t>.</w:t>
      </w:r>
      <w:r w:rsidR="00711725">
        <w:t xml:space="preserve">  Also, CIAC amounts are not included in rate base</w:t>
      </w:r>
      <w:r w:rsidR="003E2473">
        <w:t>,</w:t>
      </w:r>
      <w:r w:rsidR="00711725">
        <w:t xml:space="preserve"> and therefore</w:t>
      </w:r>
      <w:r w:rsidR="003E2473">
        <w:t>, CIAC amounts are</w:t>
      </w:r>
      <w:r w:rsidR="00711725">
        <w:t xml:space="preserve"> not included in the tax calculation used to set rates.</w:t>
      </w:r>
      <w:r w:rsidR="000F47CC">
        <w:t xml:space="preserve">  Therefore, the direct calculation of ADFIT</w:t>
      </w:r>
      <w:r w:rsidR="006A1243">
        <w:t xml:space="preserve"> should not include CIAC amounts</w:t>
      </w:r>
      <w:r w:rsidR="000F47CC">
        <w:t>.</w:t>
      </w:r>
    </w:p>
    <w:p w14:paraId="629EC627" w14:textId="0BECDE18" w:rsidR="000F47CC" w:rsidRDefault="000F47CC" w:rsidP="00204A6E">
      <w:pPr>
        <w:spacing w:line="480" w:lineRule="exact"/>
        <w:ind w:left="720" w:hanging="720"/>
        <w:jc w:val="both"/>
        <w:rPr>
          <w:b/>
          <w:bCs/>
        </w:rPr>
      </w:pPr>
      <w:r>
        <w:rPr>
          <w:b/>
          <w:bCs/>
        </w:rPr>
        <w:lastRenderedPageBreak/>
        <w:t>Q.</w:t>
      </w:r>
      <w:r>
        <w:rPr>
          <w:b/>
          <w:bCs/>
        </w:rPr>
        <w:tab/>
        <w:t>What is your recommendation for ADFIT?</w:t>
      </w:r>
    </w:p>
    <w:p w14:paraId="4E0DC88B" w14:textId="77777777" w:rsidR="000F47CC" w:rsidRDefault="000F47CC" w:rsidP="00204A6E">
      <w:pPr>
        <w:spacing w:line="480" w:lineRule="exact"/>
        <w:ind w:left="720" w:hanging="720"/>
        <w:jc w:val="both"/>
      </w:pPr>
      <w:r>
        <w:t>A.</w:t>
      </w:r>
      <w:r>
        <w:tab/>
        <w:t>My recommendation is for Monarch to recalculate its ADFIT and Excess ADFIT in the following manner:</w:t>
      </w:r>
    </w:p>
    <w:p w14:paraId="46D18C50" w14:textId="1FCCBEA3" w:rsidR="000F47CC" w:rsidRDefault="000F47CC" w:rsidP="00204A6E">
      <w:pPr>
        <w:spacing w:line="480" w:lineRule="exact"/>
        <w:ind w:left="1440" w:hanging="288"/>
      </w:pPr>
      <w:r>
        <w:t>a)</w:t>
      </w:r>
      <w:r>
        <w:tab/>
        <w:t>use all plant including plant prior to 2015;</w:t>
      </w:r>
    </w:p>
    <w:p w14:paraId="60B6E71C" w14:textId="50A95166" w:rsidR="00E25BA7" w:rsidRDefault="000F47CC" w:rsidP="00204A6E">
      <w:pPr>
        <w:spacing w:line="480" w:lineRule="exact"/>
        <w:ind w:left="1440" w:hanging="288"/>
      </w:pPr>
      <w:r>
        <w:t>b)</w:t>
      </w:r>
      <w:r>
        <w:tab/>
        <w:t xml:space="preserve">remove items that are not included as assets in this case; </w:t>
      </w:r>
    </w:p>
    <w:p w14:paraId="3E2C2F1B" w14:textId="3BD8024E" w:rsidR="000F47CC" w:rsidRDefault="000F47CC" w:rsidP="00204A6E">
      <w:pPr>
        <w:spacing w:line="480" w:lineRule="exact"/>
        <w:ind w:left="1440" w:hanging="288"/>
      </w:pPr>
      <w:r>
        <w:t>c)</w:t>
      </w:r>
      <w:r>
        <w:tab/>
        <w:t>use the same book and tax costs unless there is an appropriate explanation; and</w:t>
      </w:r>
    </w:p>
    <w:p w14:paraId="4C07DF34" w14:textId="22A21CBC" w:rsidR="000F47CC" w:rsidRDefault="000F47CC" w:rsidP="00204A6E">
      <w:pPr>
        <w:spacing w:line="480" w:lineRule="exact"/>
        <w:ind w:left="1440" w:hanging="288"/>
      </w:pPr>
      <w:r>
        <w:t>d)</w:t>
      </w:r>
      <w:r>
        <w:tab/>
        <w:t>remove CIAC from the ADFIT calculation.</w:t>
      </w:r>
    </w:p>
    <w:p w14:paraId="40351969" w14:textId="77777777" w:rsidR="009922AD" w:rsidRPr="00E25BA7" w:rsidRDefault="009922AD" w:rsidP="00204A6E">
      <w:pPr>
        <w:spacing w:line="480" w:lineRule="exact"/>
        <w:ind w:left="1440" w:hanging="288"/>
      </w:pPr>
    </w:p>
    <w:p w14:paraId="0E93F3BD" w14:textId="237D5079" w:rsidR="003F23CA" w:rsidRPr="00437A61" w:rsidRDefault="00A65CEE" w:rsidP="00204A6E">
      <w:pPr>
        <w:pStyle w:val="Heading1"/>
        <w:spacing w:line="480" w:lineRule="exact"/>
        <w:ind w:left="720" w:hanging="720"/>
        <w:jc w:val="both"/>
      </w:pPr>
      <w:bookmarkStart w:id="4" w:name="_Toc54606360"/>
      <w:r w:rsidRPr="00437A61">
        <w:t>RATE OF RETURN</w:t>
      </w:r>
      <w:bookmarkEnd w:id="4"/>
    </w:p>
    <w:p w14:paraId="19680ED5" w14:textId="00A4C8E0" w:rsidR="00B759DC" w:rsidRPr="00437A61" w:rsidRDefault="003F23CA" w:rsidP="00204A6E">
      <w:pPr>
        <w:widowControl/>
        <w:tabs>
          <w:tab w:val="left" w:pos="720"/>
        </w:tabs>
        <w:autoSpaceDE/>
        <w:autoSpaceDN/>
        <w:adjustRightInd/>
        <w:spacing w:line="480" w:lineRule="exact"/>
        <w:jc w:val="both"/>
        <w:rPr>
          <w:b/>
        </w:rPr>
      </w:pPr>
      <w:r w:rsidRPr="00437A61">
        <w:rPr>
          <w:b/>
        </w:rPr>
        <w:t>Q.</w:t>
      </w:r>
      <w:r w:rsidRPr="00437A61">
        <w:rPr>
          <w:b/>
        </w:rPr>
        <w:tab/>
        <w:t>Please define the term “</w:t>
      </w:r>
      <w:r w:rsidR="00A23AEF" w:rsidRPr="00437A61">
        <w:rPr>
          <w:b/>
        </w:rPr>
        <w:t>rate of return</w:t>
      </w:r>
      <w:r w:rsidRPr="00437A61">
        <w:rPr>
          <w:b/>
        </w:rPr>
        <w:t>.”</w:t>
      </w:r>
    </w:p>
    <w:p w14:paraId="6AE865E9" w14:textId="058A8C13" w:rsidR="00FD7D68" w:rsidRDefault="003F23CA" w:rsidP="00204A6E">
      <w:pPr>
        <w:widowControl/>
        <w:tabs>
          <w:tab w:val="left" w:pos="720"/>
          <w:tab w:val="left" w:pos="900"/>
        </w:tabs>
        <w:autoSpaceDE/>
        <w:autoSpaceDN/>
        <w:adjustRightInd/>
        <w:spacing w:line="480" w:lineRule="exact"/>
        <w:ind w:left="720" w:hanging="720"/>
        <w:jc w:val="both"/>
        <w:rPr>
          <w:szCs w:val="26"/>
        </w:rPr>
      </w:pPr>
      <w:r w:rsidRPr="00437A61">
        <w:t>A.</w:t>
      </w:r>
      <w:r w:rsidR="00B759DC" w:rsidRPr="00437A61">
        <w:tab/>
      </w:r>
      <w:r w:rsidRPr="00437A61">
        <w:rPr>
          <w:szCs w:val="26"/>
        </w:rPr>
        <w:t xml:space="preserve">Rate of return generally is the amount of revenue an investment generates (in the form of </w:t>
      </w:r>
      <w:r w:rsidR="00826EB7" w:rsidRPr="00437A61">
        <w:rPr>
          <w:szCs w:val="26"/>
        </w:rPr>
        <w:t xml:space="preserve">operating </w:t>
      </w:r>
      <w:r w:rsidRPr="00437A61">
        <w:rPr>
          <w:szCs w:val="26"/>
        </w:rPr>
        <w:t>income) expressed as a percentage of the amount of capital invested, over a given period of time.  Rate of return is one of the components of the revenue requirement formula.</w:t>
      </w:r>
    </w:p>
    <w:p w14:paraId="73C7F1E3" w14:textId="77777777" w:rsidR="00C60FA8" w:rsidRDefault="00C60FA8" w:rsidP="00E932E7">
      <w:pPr>
        <w:widowControl/>
        <w:tabs>
          <w:tab w:val="left" w:pos="720"/>
          <w:tab w:val="left" w:pos="900"/>
        </w:tabs>
        <w:autoSpaceDE/>
        <w:autoSpaceDN/>
        <w:adjustRightInd/>
        <w:spacing w:line="240" w:lineRule="auto"/>
        <w:jc w:val="both"/>
        <w:rPr>
          <w:szCs w:val="26"/>
        </w:rPr>
      </w:pPr>
    </w:p>
    <w:p w14:paraId="0898CDF0" w14:textId="5A6FD706" w:rsidR="003F23CA" w:rsidRDefault="003F23CA" w:rsidP="00204A6E">
      <w:pPr>
        <w:tabs>
          <w:tab w:val="left" w:pos="0"/>
        </w:tabs>
        <w:spacing w:line="480" w:lineRule="exact"/>
        <w:ind w:left="720" w:hanging="720"/>
        <w:jc w:val="both"/>
        <w:rPr>
          <w:b/>
          <w:szCs w:val="26"/>
        </w:rPr>
      </w:pPr>
      <w:r w:rsidRPr="00437A61">
        <w:rPr>
          <w:b/>
          <w:szCs w:val="26"/>
        </w:rPr>
        <w:t>Q.</w:t>
      </w:r>
      <w:r w:rsidRPr="00437A61">
        <w:rPr>
          <w:b/>
          <w:szCs w:val="26"/>
        </w:rPr>
        <w:tab/>
      </w:r>
      <w:r w:rsidR="00A23AEF" w:rsidRPr="00437A61">
        <w:rPr>
          <w:b/>
          <w:szCs w:val="26"/>
        </w:rPr>
        <w:t>What is the revenue requirement formula</w:t>
      </w:r>
      <w:r w:rsidRPr="00437A61">
        <w:rPr>
          <w:b/>
          <w:szCs w:val="26"/>
        </w:rPr>
        <w:t>?</w:t>
      </w:r>
    </w:p>
    <w:p w14:paraId="692134E5" w14:textId="33A4FA77" w:rsidR="003F23CA" w:rsidRDefault="003F23CA" w:rsidP="00204A6E">
      <w:pPr>
        <w:tabs>
          <w:tab w:val="left" w:pos="0"/>
        </w:tabs>
        <w:spacing w:line="480" w:lineRule="exact"/>
        <w:ind w:left="720" w:hanging="720"/>
        <w:jc w:val="both"/>
        <w:rPr>
          <w:szCs w:val="26"/>
        </w:rPr>
      </w:pPr>
      <w:r w:rsidRPr="00437A61">
        <w:rPr>
          <w:szCs w:val="26"/>
        </w:rPr>
        <w:t>A.</w:t>
      </w:r>
      <w:r w:rsidRPr="00437A61">
        <w:rPr>
          <w:szCs w:val="26"/>
        </w:rPr>
        <w:tab/>
        <w:t>The revenue requirement formula used in base rate cases is as follows:</w:t>
      </w:r>
    </w:p>
    <w:p w14:paraId="39F724AF" w14:textId="77777777" w:rsidR="003F23CA" w:rsidRPr="00437A61" w:rsidRDefault="003F23CA" w:rsidP="00204A6E">
      <w:pPr>
        <w:tabs>
          <w:tab w:val="left" w:pos="0"/>
        </w:tabs>
        <w:spacing w:line="480" w:lineRule="exact"/>
        <w:ind w:left="720" w:hanging="720"/>
        <w:jc w:val="both"/>
        <w:rPr>
          <w:szCs w:val="26"/>
        </w:rPr>
      </w:pPr>
      <w:r w:rsidRPr="00437A61">
        <w:rPr>
          <w:szCs w:val="26"/>
        </w:rPr>
        <w:tab/>
      </w:r>
      <w:r w:rsidRPr="00437A61">
        <w:rPr>
          <w:szCs w:val="26"/>
        </w:rPr>
        <w:tab/>
        <w:t>RR = E + D + T + (RB x ROR)</w:t>
      </w:r>
    </w:p>
    <w:p w14:paraId="26FD53B6" w14:textId="073D69F5" w:rsidR="00E65ED3" w:rsidRPr="00437A61" w:rsidRDefault="003F23CA" w:rsidP="00204A6E">
      <w:pPr>
        <w:tabs>
          <w:tab w:val="left" w:pos="0"/>
        </w:tabs>
        <w:spacing w:line="480" w:lineRule="exact"/>
        <w:ind w:left="720" w:hanging="720"/>
        <w:jc w:val="both"/>
        <w:rPr>
          <w:szCs w:val="26"/>
        </w:rPr>
      </w:pPr>
      <w:r w:rsidRPr="00437A61">
        <w:rPr>
          <w:szCs w:val="26"/>
        </w:rPr>
        <w:tab/>
      </w:r>
      <w:r w:rsidRPr="00437A61">
        <w:rPr>
          <w:szCs w:val="26"/>
        </w:rPr>
        <w:tab/>
        <w:t>Where:</w:t>
      </w:r>
    </w:p>
    <w:p w14:paraId="1B5DCC8F" w14:textId="36532FF2" w:rsidR="003F23CA" w:rsidRPr="00437A61" w:rsidRDefault="003F23CA" w:rsidP="00204A6E">
      <w:pPr>
        <w:tabs>
          <w:tab w:val="left" w:pos="0"/>
        </w:tabs>
        <w:spacing w:line="480" w:lineRule="exact"/>
        <w:ind w:left="720" w:hanging="720"/>
        <w:jc w:val="both"/>
        <w:rPr>
          <w:szCs w:val="26"/>
        </w:rPr>
      </w:pPr>
      <w:r w:rsidRPr="00437A61">
        <w:rPr>
          <w:szCs w:val="26"/>
        </w:rPr>
        <w:tab/>
      </w:r>
      <w:r w:rsidRPr="00437A61">
        <w:rPr>
          <w:szCs w:val="26"/>
        </w:rPr>
        <w:tab/>
      </w:r>
      <w:r w:rsidR="00EC04D1">
        <w:rPr>
          <w:szCs w:val="26"/>
        </w:rPr>
        <w:tab/>
      </w:r>
      <w:r w:rsidRPr="00437A61">
        <w:rPr>
          <w:szCs w:val="26"/>
        </w:rPr>
        <w:tab/>
        <w:t xml:space="preserve">RR </w:t>
      </w:r>
      <w:r w:rsidRPr="00437A61">
        <w:rPr>
          <w:szCs w:val="26"/>
        </w:rPr>
        <w:tab/>
        <w:t xml:space="preserve">= </w:t>
      </w:r>
      <w:r w:rsidRPr="00437A61">
        <w:rPr>
          <w:szCs w:val="26"/>
        </w:rPr>
        <w:tab/>
        <w:t>Revenue Requirement</w:t>
      </w:r>
    </w:p>
    <w:p w14:paraId="787D515A" w14:textId="72350ED5" w:rsidR="003F23CA" w:rsidRPr="00437A61" w:rsidRDefault="003F23CA" w:rsidP="00204A6E">
      <w:pPr>
        <w:tabs>
          <w:tab w:val="left" w:pos="0"/>
        </w:tabs>
        <w:spacing w:line="480" w:lineRule="exact"/>
        <w:ind w:left="720" w:hanging="720"/>
        <w:jc w:val="both"/>
        <w:rPr>
          <w:szCs w:val="26"/>
        </w:rPr>
      </w:pPr>
      <w:r w:rsidRPr="00437A61">
        <w:rPr>
          <w:szCs w:val="26"/>
        </w:rPr>
        <w:tab/>
      </w:r>
      <w:r w:rsidRPr="00437A61">
        <w:rPr>
          <w:szCs w:val="26"/>
        </w:rPr>
        <w:tab/>
      </w:r>
      <w:r w:rsidR="00EC04D1">
        <w:rPr>
          <w:szCs w:val="26"/>
        </w:rPr>
        <w:tab/>
      </w:r>
      <w:r w:rsidRPr="00437A61">
        <w:rPr>
          <w:szCs w:val="26"/>
        </w:rPr>
        <w:tab/>
        <w:t>E</w:t>
      </w:r>
      <w:r w:rsidRPr="00437A61">
        <w:rPr>
          <w:szCs w:val="26"/>
        </w:rPr>
        <w:tab/>
        <w:t>=</w:t>
      </w:r>
      <w:r w:rsidRPr="00437A61">
        <w:rPr>
          <w:szCs w:val="26"/>
        </w:rPr>
        <w:tab/>
        <w:t>Operating Expense</w:t>
      </w:r>
    </w:p>
    <w:p w14:paraId="7AA6EDDE" w14:textId="19C5B446" w:rsidR="003F23CA" w:rsidRPr="00437A61" w:rsidRDefault="003F23CA" w:rsidP="00204A6E">
      <w:pPr>
        <w:tabs>
          <w:tab w:val="left" w:pos="0"/>
        </w:tabs>
        <w:spacing w:line="480" w:lineRule="exact"/>
        <w:ind w:left="720" w:hanging="720"/>
        <w:jc w:val="both"/>
        <w:rPr>
          <w:szCs w:val="26"/>
        </w:rPr>
      </w:pPr>
      <w:r w:rsidRPr="00437A61">
        <w:rPr>
          <w:szCs w:val="26"/>
        </w:rPr>
        <w:tab/>
      </w:r>
      <w:r w:rsidRPr="00437A61">
        <w:rPr>
          <w:szCs w:val="26"/>
        </w:rPr>
        <w:tab/>
      </w:r>
      <w:r w:rsidR="00EC04D1">
        <w:rPr>
          <w:szCs w:val="26"/>
        </w:rPr>
        <w:tab/>
      </w:r>
      <w:r w:rsidRPr="00437A61">
        <w:rPr>
          <w:szCs w:val="26"/>
        </w:rPr>
        <w:tab/>
        <w:t>D</w:t>
      </w:r>
      <w:r w:rsidRPr="00437A61">
        <w:rPr>
          <w:szCs w:val="26"/>
        </w:rPr>
        <w:tab/>
        <w:t>=</w:t>
      </w:r>
      <w:r w:rsidRPr="00437A61">
        <w:rPr>
          <w:szCs w:val="26"/>
        </w:rPr>
        <w:tab/>
        <w:t>Depreciation Expense</w:t>
      </w:r>
    </w:p>
    <w:p w14:paraId="7100475F" w14:textId="57585DA4" w:rsidR="003F23CA" w:rsidRPr="00437A61" w:rsidRDefault="003F23CA" w:rsidP="00204A6E">
      <w:pPr>
        <w:tabs>
          <w:tab w:val="left" w:pos="0"/>
        </w:tabs>
        <w:spacing w:line="480" w:lineRule="exact"/>
        <w:ind w:left="720" w:hanging="720"/>
        <w:jc w:val="both"/>
        <w:rPr>
          <w:szCs w:val="26"/>
        </w:rPr>
      </w:pPr>
      <w:r w:rsidRPr="00437A61">
        <w:rPr>
          <w:szCs w:val="26"/>
        </w:rPr>
        <w:tab/>
      </w:r>
      <w:r w:rsidRPr="00437A61">
        <w:rPr>
          <w:szCs w:val="26"/>
        </w:rPr>
        <w:tab/>
      </w:r>
      <w:r w:rsidR="00EC04D1">
        <w:rPr>
          <w:szCs w:val="26"/>
        </w:rPr>
        <w:tab/>
      </w:r>
      <w:r w:rsidRPr="00437A61">
        <w:rPr>
          <w:szCs w:val="26"/>
        </w:rPr>
        <w:tab/>
        <w:t>T</w:t>
      </w:r>
      <w:r w:rsidRPr="00437A61">
        <w:rPr>
          <w:szCs w:val="26"/>
        </w:rPr>
        <w:tab/>
        <w:t>=</w:t>
      </w:r>
      <w:r w:rsidRPr="00437A61">
        <w:rPr>
          <w:szCs w:val="26"/>
        </w:rPr>
        <w:tab/>
        <w:t>Taxes</w:t>
      </w:r>
    </w:p>
    <w:p w14:paraId="32BEECBE" w14:textId="0E351EA4" w:rsidR="003F23CA" w:rsidRPr="00437A61" w:rsidRDefault="003F23CA" w:rsidP="00204A6E">
      <w:pPr>
        <w:tabs>
          <w:tab w:val="left" w:pos="0"/>
        </w:tabs>
        <w:spacing w:line="480" w:lineRule="exact"/>
        <w:ind w:left="720" w:hanging="720"/>
        <w:jc w:val="both"/>
        <w:rPr>
          <w:szCs w:val="26"/>
        </w:rPr>
      </w:pPr>
      <w:r w:rsidRPr="00437A61">
        <w:rPr>
          <w:szCs w:val="26"/>
        </w:rPr>
        <w:tab/>
      </w:r>
      <w:r w:rsidRPr="00437A61">
        <w:rPr>
          <w:szCs w:val="26"/>
        </w:rPr>
        <w:tab/>
      </w:r>
      <w:r w:rsidR="00EC04D1">
        <w:rPr>
          <w:szCs w:val="26"/>
        </w:rPr>
        <w:tab/>
      </w:r>
      <w:r w:rsidRPr="00437A61">
        <w:rPr>
          <w:szCs w:val="26"/>
        </w:rPr>
        <w:tab/>
        <w:t>RB</w:t>
      </w:r>
      <w:r w:rsidRPr="00437A61">
        <w:rPr>
          <w:szCs w:val="26"/>
        </w:rPr>
        <w:tab/>
        <w:t>=</w:t>
      </w:r>
      <w:r w:rsidRPr="00437A61">
        <w:rPr>
          <w:szCs w:val="26"/>
        </w:rPr>
        <w:tab/>
        <w:t>Rate Base</w:t>
      </w:r>
    </w:p>
    <w:p w14:paraId="618CF7C8" w14:textId="5AEB7335" w:rsidR="003F23CA" w:rsidRPr="00437A61" w:rsidRDefault="003F23CA" w:rsidP="00204A6E">
      <w:pPr>
        <w:tabs>
          <w:tab w:val="left" w:pos="0"/>
        </w:tabs>
        <w:spacing w:line="480" w:lineRule="exact"/>
        <w:ind w:left="720" w:hanging="720"/>
        <w:jc w:val="both"/>
        <w:rPr>
          <w:szCs w:val="26"/>
        </w:rPr>
      </w:pPr>
      <w:r w:rsidRPr="00437A61">
        <w:rPr>
          <w:szCs w:val="26"/>
        </w:rPr>
        <w:tab/>
      </w:r>
      <w:r w:rsidRPr="00437A61">
        <w:rPr>
          <w:szCs w:val="26"/>
        </w:rPr>
        <w:tab/>
      </w:r>
      <w:r w:rsidR="00EC04D1">
        <w:rPr>
          <w:szCs w:val="26"/>
        </w:rPr>
        <w:tab/>
      </w:r>
      <w:r w:rsidR="00EC04D1">
        <w:rPr>
          <w:szCs w:val="26"/>
        </w:rPr>
        <w:tab/>
      </w:r>
      <w:r w:rsidRPr="00437A61">
        <w:rPr>
          <w:szCs w:val="26"/>
        </w:rPr>
        <w:t>ROR</w:t>
      </w:r>
      <w:r w:rsidRPr="00437A61">
        <w:rPr>
          <w:szCs w:val="26"/>
        </w:rPr>
        <w:tab/>
        <w:t>=</w:t>
      </w:r>
      <w:r w:rsidRPr="00437A61">
        <w:rPr>
          <w:szCs w:val="26"/>
        </w:rPr>
        <w:tab/>
        <w:t>Overall Rate of Return</w:t>
      </w:r>
    </w:p>
    <w:p w14:paraId="127E2F6E" w14:textId="5E3C5C8D" w:rsidR="00FD7D68" w:rsidRDefault="003F23CA" w:rsidP="00204A6E">
      <w:pPr>
        <w:tabs>
          <w:tab w:val="left" w:pos="0"/>
        </w:tabs>
        <w:spacing w:line="480" w:lineRule="exact"/>
        <w:ind w:left="720" w:hanging="720"/>
        <w:jc w:val="both"/>
        <w:rPr>
          <w:szCs w:val="26"/>
        </w:rPr>
      </w:pPr>
      <w:r w:rsidRPr="00437A61">
        <w:rPr>
          <w:szCs w:val="26"/>
        </w:rPr>
        <w:tab/>
        <w:t xml:space="preserve">In the above formula the rate of return is expressed as a percentage.  The calculation of </w:t>
      </w:r>
      <w:r w:rsidR="005D33B4" w:rsidRPr="00437A61">
        <w:rPr>
          <w:szCs w:val="26"/>
        </w:rPr>
        <w:t xml:space="preserve">the </w:t>
      </w:r>
      <w:r w:rsidR="005D33B4" w:rsidRPr="00437A61">
        <w:rPr>
          <w:szCs w:val="26"/>
        </w:rPr>
        <w:lastRenderedPageBreak/>
        <w:t xml:space="preserve">ROR </w:t>
      </w:r>
      <w:r w:rsidRPr="00437A61">
        <w:rPr>
          <w:szCs w:val="26"/>
        </w:rPr>
        <w:t xml:space="preserve">is independent of the determination of the appropriate rate base value for ratemaking purposes.  As such, the appropriate total dollar return </w:t>
      </w:r>
      <w:r w:rsidR="008B3ECD" w:rsidRPr="00437A61">
        <w:rPr>
          <w:szCs w:val="26"/>
        </w:rPr>
        <w:t>(RB x ROR)</w:t>
      </w:r>
      <w:r w:rsidR="00CD6441" w:rsidRPr="00437A61">
        <w:rPr>
          <w:szCs w:val="26"/>
        </w:rPr>
        <w:t xml:space="preserve"> </w:t>
      </w:r>
      <w:r w:rsidRPr="00437A61">
        <w:rPr>
          <w:szCs w:val="26"/>
        </w:rPr>
        <w:t>is dependent upon the proper computation of the rate of return and the proper valuation of the utility’s rate base.</w:t>
      </w:r>
    </w:p>
    <w:p w14:paraId="4CB7682F" w14:textId="77777777" w:rsidR="009922AD" w:rsidRDefault="009922AD" w:rsidP="00E932E7">
      <w:pPr>
        <w:tabs>
          <w:tab w:val="left" w:pos="0"/>
        </w:tabs>
        <w:spacing w:line="240" w:lineRule="auto"/>
        <w:ind w:left="720" w:hanging="720"/>
        <w:jc w:val="both"/>
        <w:rPr>
          <w:szCs w:val="26"/>
        </w:rPr>
      </w:pPr>
    </w:p>
    <w:p w14:paraId="4CB9FB12" w14:textId="77777777" w:rsidR="003F23CA" w:rsidRPr="00437A61" w:rsidRDefault="003F23CA" w:rsidP="00204A6E">
      <w:pPr>
        <w:tabs>
          <w:tab w:val="left" w:pos="0"/>
        </w:tabs>
        <w:spacing w:line="480" w:lineRule="exact"/>
        <w:ind w:left="720" w:hanging="720"/>
        <w:jc w:val="both"/>
        <w:rPr>
          <w:b/>
          <w:szCs w:val="26"/>
        </w:rPr>
      </w:pPr>
      <w:r w:rsidRPr="00437A61">
        <w:rPr>
          <w:b/>
          <w:szCs w:val="26"/>
        </w:rPr>
        <w:t>Q.</w:t>
      </w:r>
      <w:r w:rsidRPr="00437A61">
        <w:rPr>
          <w:b/>
          <w:szCs w:val="26"/>
        </w:rPr>
        <w:tab/>
      </w:r>
      <w:r w:rsidR="00A23AEF" w:rsidRPr="00437A61">
        <w:rPr>
          <w:b/>
          <w:szCs w:val="26"/>
        </w:rPr>
        <w:t>What constitutes a fair and reasonable overall rate of return</w:t>
      </w:r>
      <w:r w:rsidRPr="00437A61">
        <w:rPr>
          <w:b/>
          <w:szCs w:val="26"/>
        </w:rPr>
        <w:t>?</w:t>
      </w:r>
    </w:p>
    <w:p w14:paraId="15E1AF8B" w14:textId="5533A75D" w:rsidR="003F23CA" w:rsidRPr="00437A61" w:rsidRDefault="003F23CA" w:rsidP="00204A6E">
      <w:pPr>
        <w:tabs>
          <w:tab w:val="left" w:pos="0"/>
        </w:tabs>
        <w:spacing w:line="480" w:lineRule="exact"/>
        <w:ind w:left="720" w:hanging="720"/>
        <w:jc w:val="both"/>
        <w:rPr>
          <w:szCs w:val="26"/>
        </w:rPr>
      </w:pPr>
      <w:r w:rsidRPr="00437A61">
        <w:rPr>
          <w:szCs w:val="26"/>
        </w:rPr>
        <w:t>A.</w:t>
      </w:r>
      <w:r w:rsidRPr="00437A61">
        <w:rPr>
          <w:szCs w:val="26"/>
        </w:rPr>
        <w:tab/>
        <w:t xml:space="preserve">A fair and reasonable overall rate of return is one </w:t>
      </w:r>
      <w:r w:rsidR="00DE5DD2" w:rsidRPr="00437A61">
        <w:rPr>
          <w:szCs w:val="26"/>
        </w:rPr>
        <w:t xml:space="preserve">that </w:t>
      </w:r>
      <w:r w:rsidRPr="00437A61">
        <w:rPr>
          <w:szCs w:val="26"/>
        </w:rPr>
        <w:t>will allow the utility the opportunity to recover those costs prudently incurred by all classes of capital used to finance the rate base during the prospective period in which its rates will be in effect.</w:t>
      </w:r>
    </w:p>
    <w:p w14:paraId="0E181E59" w14:textId="08A5F14A" w:rsidR="003F23CA" w:rsidRPr="00437A61" w:rsidRDefault="003F23CA" w:rsidP="00204A6E">
      <w:pPr>
        <w:tabs>
          <w:tab w:val="left" w:pos="0"/>
        </w:tabs>
        <w:spacing w:line="480" w:lineRule="exact"/>
        <w:ind w:left="720" w:hanging="720"/>
        <w:jc w:val="both"/>
        <w:rPr>
          <w:szCs w:val="26"/>
        </w:rPr>
      </w:pPr>
      <w:r w:rsidRPr="00437A61">
        <w:rPr>
          <w:szCs w:val="26"/>
        </w:rPr>
        <w:tab/>
      </w:r>
      <w:r w:rsidR="00820367" w:rsidRPr="00437A61">
        <w:rPr>
          <w:szCs w:val="26"/>
        </w:rPr>
        <w:tab/>
      </w:r>
      <w:r w:rsidR="00820367" w:rsidRPr="00437A61">
        <w:rPr>
          <w:szCs w:val="26"/>
        </w:rPr>
        <w:tab/>
      </w:r>
      <w:r w:rsidR="0021055A">
        <w:rPr>
          <w:szCs w:val="26"/>
        </w:rPr>
        <w:tab/>
      </w:r>
      <w:r w:rsidRPr="00437A61">
        <w:rPr>
          <w:i/>
          <w:szCs w:val="26"/>
        </w:rPr>
        <w:t>Bluefield</w:t>
      </w:r>
      <w:r w:rsidR="003503F5">
        <w:rPr>
          <w:rStyle w:val="FootnoteReference"/>
          <w:i/>
          <w:szCs w:val="26"/>
        </w:rPr>
        <w:footnoteReference w:id="8"/>
      </w:r>
      <w:r w:rsidRPr="00437A61">
        <w:rPr>
          <w:i/>
          <w:szCs w:val="26"/>
        </w:rPr>
        <w:t xml:space="preserve"> </w:t>
      </w:r>
      <w:r w:rsidR="003503F5" w:rsidRPr="00BA53EC">
        <w:rPr>
          <w:iCs/>
          <w:szCs w:val="26"/>
        </w:rPr>
        <w:t xml:space="preserve">and </w:t>
      </w:r>
      <w:r w:rsidRPr="00437A61">
        <w:rPr>
          <w:i/>
          <w:szCs w:val="26"/>
        </w:rPr>
        <w:t>Hope</w:t>
      </w:r>
      <w:r w:rsidR="003503F5">
        <w:rPr>
          <w:rStyle w:val="FootnoteReference"/>
          <w:i/>
          <w:szCs w:val="26"/>
        </w:rPr>
        <w:footnoteReference w:id="9"/>
      </w:r>
      <w:r w:rsidRPr="00437A61">
        <w:rPr>
          <w:szCs w:val="26"/>
        </w:rPr>
        <w:t xml:space="preserve"> set forth the principles that are generally accepted by regulators throughout the country as the appropriate criteria for measuring a fair rate of return:</w:t>
      </w:r>
    </w:p>
    <w:p w14:paraId="2FEA4BF7" w14:textId="2B64EBC8" w:rsidR="00A20D8D" w:rsidRPr="00204A6E" w:rsidRDefault="003F23CA" w:rsidP="00204A6E">
      <w:pPr>
        <w:widowControl/>
        <w:numPr>
          <w:ilvl w:val="0"/>
          <w:numId w:val="30"/>
        </w:numPr>
        <w:tabs>
          <w:tab w:val="left" w:pos="0"/>
        </w:tabs>
        <w:autoSpaceDE/>
        <w:autoSpaceDN/>
        <w:adjustRightInd/>
        <w:spacing w:line="480" w:lineRule="exact"/>
        <w:ind w:left="1800" w:right="720"/>
        <w:jc w:val="both"/>
        <w:rPr>
          <w:szCs w:val="26"/>
        </w:rPr>
      </w:pPr>
      <w:r w:rsidRPr="00204A6E">
        <w:rPr>
          <w:szCs w:val="26"/>
        </w:rPr>
        <w:t>A utility is entitled to a return similar to that being earned by other enterprises with corresponding risks and uncertainties, but not as high as those earned by highly profitable or speculative ventures;</w:t>
      </w:r>
    </w:p>
    <w:p w14:paraId="73A049D3" w14:textId="0B3D8EF9" w:rsidR="00A20D8D" w:rsidRPr="00204A6E" w:rsidRDefault="003F23CA" w:rsidP="00204A6E">
      <w:pPr>
        <w:widowControl/>
        <w:numPr>
          <w:ilvl w:val="0"/>
          <w:numId w:val="30"/>
        </w:numPr>
        <w:tabs>
          <w:tab w:val="left" w:pos="0"/>
        </w:tabs>
        <w:autoSpaceDE/>
        <w:autoSpaceDN/>
        <w:adjustRightInd/>
        <w:spacing w:line="480" w:lineRule="exact"/>
        <w:ind w:left="1800" w:right="720"/>
        <w:jc w:val="both"/>
        <w:rPr>
          <w:szCs w:val="26"/>
        </w:rPr>
      </w:pPr>
      <w:r w:rsidRPr="00204A6E">
        <w:rPr>
          <w:szCs w:val="26"/>
        </w:rPr>
        <w:t>A utility is entitled to a return level reasonably sufficient to assure financial soundness;</w:t>
      </w:r>
    </w:p>
    <w:p w14:paraId="27203964" w14:textId="1844677F" w:rsidR="00A20D8D" w:rsidRPr="00204A6E" w:rsidRDefault="003F23CA" w:rsidP="00204A6E">
      <w:pPr>
        <w:widowControl/>
        <w:numPr>
          <w:ilvl w:val="0"/>
          <w:numId w:val="30"/>
        </w:numPr>
        <w:tabs>
          <w:tab w:val="left" w:pos="0"/>
        </w:tabs>
        <w:autoSpaceDE/>
        <w:autoSpaceDN/>
        <w:adjustRightInd/>
        <w:spacing w:line="480" w:lineRule="exact"/>
        <w:ind w:left="1800" w:right="720"/>
        <w:jc w:val="both"/>
        <w:rPr>
          <w:szCs w:val="26"/>
        </w:rPr>
      </w:pPr>
      <w:r w:rsidRPr="00204A6E">
        <w:rPr>
          <w:szCs w:val="26"/>
        </w:rPr>
        <w:t>A utility is entitled to a return sufficient to maintain and support its credit and raise necessary capital</w:t>
      </w:r>
      <w:r w:rsidR="00A20D8D" w:rsidRPr="00204A6E">
        <w:rPr>
          <w:szCs w:val="26"/>
        </w:rPr>
        <w:t>.</w:t>
      </w:r>
    </w:p>
    <w:p w14:paraId="6DCCD536" w14:textId="77777777" w:rsidR="00E932E7" w:rsidRDefault="003F23CA" w:rsidP="00204A6E">
      <w:pPr>
        <w:widowControl/>
        <w:tabs>
          <w:tab w:val="left" w:pos="0"/>
        </w:tabs>
        <w:autoSpaceDE/>
        <w:autoSpaceDN/>
        <w:adjustRightInd/>
        <w:spacing w:line="480" w:lineRule="exact"/>
        <w:ind w:left="720"/>
        <w:jc w:val="both"/>
        <w:rPr>
          <w:szCs w:val="26"/>
        </w:rPr>
      </w:pPr>
      <w:r w:rsidRPr="00437A61">
        <w:rPr>
          <w:szCs w:val="26"/>
        </w:rPr>
        <w:t>A fair return can change (increase or decrease) along with economic conditions and capital markets.</w:t>
      </w:r>
    </w:p>
    <w:p w14:paraId="7A07C9C9" w14:textId="680DA055" w:rsidR="003E2473" w:rsidRDefault="003F23CA" w:rsidP="00E932E7">
      <w:pPr>
        <w:widowControl/>
        <w:tabs>
          <w:tab w:val="left" w:pos="0"/>
        </w:tabs>
        <w:autoSpaceDE/>
        <w:autoSpaceDN/>
        <w:adjustRightInd/>
        <w:spacing w:line="240" w:lineRule="auto"/>
        <w:ind w:left="720"/>
        <w:jc w:val="both"/>
        <w:rPr>
          <w:szCs w:val="26"/>
        </w:rPr>
      </w:pPr>
      <w:r w:rsidRPr="00437A61">
        <w:rPr>
          <w:szCs w:val="26"/>
        </w:rPr>
        <w:tab/>
      </w:r>
    </w:p>
    <w:p w14:paraId="65B38C50" w14:textId="77777777" w:rsidR="003F23CA" w:rsidRPr="00437A61" w:rsidRDefault="003F23CA" w:rsidP="00204A6E">
      <w:pPr>
        <w:spacing w:line="480" w:lineRule="exact"/>
        <w:ind w:left="720" w:hanging="720"/>
        <w:jc w:val="both"/>
        <w:rPr>
          <w:b/>
        </w:rPr>
      </w:pPr>
      <w:r w:rsidRPr="00437A61">
        <w:rPr>
          <w:b/>
        </w:rPr>
        <w:t>Q.</w:t>
      </w:r>
      <w:r w:rsidRPr="00437A61">
        <w:rPr>
          <w:b/>
        </w:rPr>
        <w:tab/>
        <w:t xml:space="preserve">How is the </w:t>
      </w:r>
      <w:r w:rsidR="00A23AEF" w:rsidRPr="00437A61">
        <w:rPr>
          <w:b/>
        </w:rPr>
        <w:t>rate of return</w:t>
      </w:r>
      <w:r w:rsidRPr="00437A61">
        <w:rPr>
          <w:b/>
        </w:rPr>
        <w:t xml:space="preserve"> calculated?</w:t>
      </w:r>
    </w:p>
    <w:p w14:paraId="17DE2937" w14:textId="457735B1" w:rsidR="008E0D83" w:rsidRDefault="003F23CA" w:rsidP="00204A6E">
      <w:pPr>
        <w:tabs>
          <w:tab w:val="left" w:pos="0"/>
        </w:tabs>
        <w:spacing w:line="480" w:lineRule="exact"/>
        <w:ind w:left="720" w:hanging="720"/>
        <w:jc w:val="both"/>
        <w:rPr>
          <w:szCs w:val="26"/>
        </w:rPr>
      </w:pPr>
      <w:r w:rsidRPr="00437A61">
        <w:t>A.</w:t>
      </w:r>
      <w:r w:rsidRPr="00437A61">
        <w:tab/>
      </w:r>
      <w:r w:rsidRPr="00437A61">
        <w:rPr>
          <w:szCs w:val="26"/>
        </w:rPr>
        <w:t xml:space="preserve">The overall rate of return in this rate proceeding is calculated using the weighted average cost of capital method. </w:t>
      </w:r>
      <w:r w:rsidR="00A20D8D" w:rsidRPr="00437A61">
        <w:rPr>
          <w:szCs w:val="26"/>
        </w:rPr>
        <w:t xml:space="preserve"> </w:t>
      </w:r>
      <w:r w:rsidRPr="00437A61">
        <w:rPr>
          <w:szCs w:val="26"/>
        </w:rPr>
        <w:t>To calculate the weighted average cost of capital, the util</w:t>
      </w:r>
      <w:r w:rsidR="00436265" w:rsidRPr="00437A61">
        <w:rPr>
          <w:szCs w:val="26"/>
        </w:rPr>
        <w:t>i</w:t>
      </w:r>
      <w:r w:rsidRPr="00437A61">
        <w:rPr>
          <w:szCs w:val="26"/>
        </w:rPr>
        <w:t xml:space="preserve">ty’s capital </w:t>
      </w:r>
      <w:r w:rsidRPr="00437A61">
        <w:rPr>
          <w:szCs w:val="26"/>
        </w:rPr>
        <w:lastRenderedPageBreak/>
        <w:t>structure must first be determined by calculating</w:t>
      </w:r>
      <w:r w:rsidR="00A20D8D" w:rsidRPr="00437A61">
        <w:rPr>
          <w:szCs w:val="26"/>
        </w:rPr>
        <w:t>, as a</w:t>
      </w:r>
      <w:r w:rsidRPr="00437A61">
        <w:rPr>
          <w:szCs w:val="26"/>
        </w:rPr>
        <w:t xml:space="preserve"> percentage </w:t>
      </w:r>
      <w:r w:rsidR="00A20D8D" w:rsidRPr="00437A61">
        <w:rPr>
          <w:szCs w:val="26"/>
        </w:rPr>
        <w:t>of total capital,</w:t>
      </w:r>
      <w:r w:rsidRPr="00437A61">
        <w:rPr>
          <w:szCs w:val="26"/>
        </w:rPr>
        <w:t xml:space="preserve"> each capitalization component </w:t>
      </w:r>
      <w:r w:rsidR="00A20D8D" w:rsidRPr="00437A61">
        <w:rPr>
          <w:szCs w:val="26"/>
        </w:rPr>
        <w:t xml:space="preserve">that </w:t>
      </w:r>
      <w:r w:rsidRPr="00437A61">
        <w:rPr>
          <w:szCs w:val="26"/>
        </w:rPr>
        <w:t xml:space="preserve">has financed the rate base.  The capital components consist of long-term debt and common equity.  Next, the effective cost rate of each capital structure component must be determined.  The cost rate of debt is </w:t>
      </w:r>
      <w:r w:rsidR="005D33B4" w:rsidRPr="00437A61">
        <w:rPr>
          <w:szCs w:val="26"/>
        </w:rPr>
        <w:t xml:space="preserve">typically </w:t>
      </w:r>
      <w:r w:rsidRPr="00437A61">
        <w:rPr>
          <w:szCs w:val="26"/>
        </w:rPr>
        <w:t xml:space="preserve">fixed and can be computed accurately.  The cost rate of common equity is not fixed and is more difficult to measure.  Next, each capital structure component percentage is multiplied by its corresponding effective cost rate to determine the weighted capital component cost rate.  Lastly, the sum of the weighted cost rates produces the overall rate of return.  This overall rate of return is multiplied by the rate base to determine the return portion of </w:t>
      </w:r>
      <w:r w:rsidR="00A20D8D" w:rsidRPr="00437A61">
        <w:rPr>
          <w:szCs w:val="26"/>
        </w:rPr>
        <w:t xml:space="preserve">the </w:t>
      </w:r>
      <w:r w:rsidRPr="00437A61">
        <w:rPr>
          <w:szCs w:val="26"/>
        </w:rPr>
        <w:t>utility’s revenue requirement.</w:t>
      </w:r>
    </w:p>
    <w:p w14:paraId="095398D4" w14:textId="77777777" w:rsidR="00204A6E" w:rsidRDefault="00204A6E" w:rsidP="00204A6E">
      <w:pPr>
        <w:tabs>
          <w:tab w:val="left" w:pos="0"/>
        </w:tabs>
        <w:spacing w:line="480" w:lineRule="exact"/>
        <w:ind w:left="720" w:hanging="720"/>
        <w:jc w:val="both"/>
        <w:rPr>
          <w:szCs w:val="26"/>
        </w:rPr>
      </w:pPr>
    </w:p>
    <w:p w14:paraId="71DB37EC" w14:textId="77777777" w:rsidR="00BD209B" w:rsidRPr="005A1145" w:rsidRDefault="003F23CA" w:rsidP="00204A6E">
      <w:pPr>
        <w:pStyle w:val="Heading1"/>
        <w:spacing w:line="480" w:lineRule="exact"/>
        <w:ind w:left="720" w:hanging="720"/>
      </w:pPr>
      <w:bookmarkStart w:id="5" w:name="_Toc54606361"/>
      <w:r w:rsidRPr="005A1145">
        <w:t>COMPANY POSITION</w:t>
      </w:r>
      <w:bookmarkEnd w:id="5"/>
    </w:p>
    <w:p w14:paraId="01FD49A8" w14:textId="76E8951A" w:rsidR="003F23CA" w:rsidRPr="005A1145" w:rsidRDefault="003F23CA" w:rsidP="00204A6E">
      <w:pPr>
        <w:tabs>
          <w:tab w:val="left" w:pos="0"/>
        </w:tabs>
        <w:spacing w:line="480" w:lineRule="exact"/>
        <w:ind w:left="720" w:hanging="720"/>
        <w:rPr>
          <w:b/>
          <w:szCs w:val="26"/>
        </w:rPr>
      </w:pPr>
      <w:r w:rsidRPr="005A1145">
        <w:rPr>
          <w:b/>
          <w:szCs w:val="26"/>
        </w:rPr>
        <w:t>Q.</w:t>
      </w:r>
      <w:r w:rsidRPr="005A1145">
        <w:rPr>
          <w:b/>
          <w:szCs w:val="26"/>
        </w:rPr>
        <w:tab/>
        <w:t>P</w:t>
      </w:r>
      <w:r w:rsidR="00A23AEF" w:rsidRPr="005A1145">
        <w:rPr>
          <w:b/>
          <w:szCs w:val="26"/>
        </w:rPr>
        <w:t xml:space="preserve">lease summarize </w:t>
      </w:r>
      <w:r w:rsidR="007F1F8F">
        <w:rPr>
          <w:b/>
          <w:szCs w:val="26"/>
        </w:rPr>
        <w:t>Monarch’s</w:t>
      </w:r>
      <w:r w:rsidR="00A23AEF" w:rsidRPr="005A1145">
        <w:rPr>
          <w:b/>
          <w:szCs w:val="26"/>
        </w:rPr>
        <w:t xml:space="preserve"> rate of return request in this case</w:t>
      </w:r>
      <w:r w:rsidRPr="005A1145">
        <w:rPr>
          <w:b/>
          <w:szCs w:val="26"/>
        </w:rPr>
        <w:t>.</w:t>
      </w:r>
    </w:p>
    <w:p w14:paraId="6CFF66DA" w14:textId="48694A01" w:rsidR="003F23CA" w:rsidRPr="005A1145" w:rsidRDefault="003F23CA" w:rsidP="00204A6E">
      <w:pPr>
        <w:tabs>
          <w:tab w:val="left" w:pos="0"/>
        </w:tabs>
        <w:spacing w:line="480" w:lineRule="exact"/>
        <w:ind w:left="720" w:hanging="720"/>
        <w:rPr>
          <w:szCs w:val="26"/>
        </w:rPr>
      </w:pPr>
      <w:r w:rsidRPr="005A1145">
        <w:rPr>
          <w:szCs w:val="26"/>
        </w:rPr>
        <w:t>A.</w:t>
      </w:r>
      <w:r w:rsidRPr="005A1145">
        <w:rPr>
          <w:szCs w:val="26"/>
        </w:rPr>
        <w:tab/>
        <w:t xml:space="preserve">Based on </w:t>
      </w:r>
      <w:r w:rsidRPr="005A1145">
        <w:t>the rate</w:t>
      </w:r>
      <w:r w:rsidR="00B759DC" w:rsidRPr="005A1145">
        <w:t xml:space="preserve"> </w:t>
      </w:r>
      <w:r w:rsidRPr="005A1145">
        <w:t xml:space="preserve">application, </w:t>
      </w:r>
      <w:r w:rsidR="007F1F8F">
        <w:rPr>
          <w:szCs w:val="26"/>
        </w:rPr>
        <w:t>Monarch</w:t>
      </w:r>
      <w:r w:rsidRPr="005A1145">
        <w:rPr>
          <w:szCs w:val="26"/>
        </w:rPr>
        <w:t xml:space="preserve"> requested the following rate of return:</w:t>
      </w:r>
      <w:r w:rsidR="00E113D8" w:rsidRPr="005A1145">
        <w:rPr>
          <w:rStyle w:val="FootnoteReference"/>
          <w:szCs w:val="26"/>
        </w:rPr>
        <w:footnoteReference w:id="10"/>
      </w:r>
    </w:p>
    <w:tbl>
      <w:tblPr>
        <w:tblW w:w="0" w:type="auto"/>
        <w:tblInd w:w="1020" w:type="dxa"/>
        <w:tblLook w:val="04A0" w:firstRow="1" w:lastRow="0" w:firstColumn="1" w:lastColumn="0" w:noHBand="0" w:noVBand="1"/>
      </w:tblPr>
      <w:tblGrid>
        <w:gridCol w:w="2049"/>
        <w:gridCol w:w="2079"/>
        <w:gridCol w:w="1230"/>
        <w:gridCol w:w="2370"/>
      </w:tblGrid>
      <w:tr w:rsidR="005A1145" w:rsidRPr="005A1145" w14:paraId="63BB58F0" w14:textId="77777777" w:rsidTr="00625094">
        <w:trPr>
          <w:trHeight w:val="344"/>
        </w:trPr>
        <w:tc>
          <w:tcPr>
            <w:tcW w:w="2049" w:type="dxa"/>
          </w:tcPr>
          <w:p w14:paraId="1D19BB93" w14:textId="77777777" w:rsidR="003F23CA" w:rsidRPr="005A1145" w:rsidRDefault="003F23CA" w:rsidP="00204A6E">
            <w:pPr>
              <w:tabs>
                <w:tab w:val="left" w:pos="0"/>
              </w:tabs>
              <w:spacing w:line="480" w:lineRule="exact"/>
              <w:rPr>
                <w:szCs w:val="26"/>
                <w:u w:val="single"/>
              </w:rPr>
            </w:pPr>
            <w:r w:rsidRPr="005A1145">
              <w:rPr>
                <w:szCs w:val="26"/>
                <w:u w:val="single"/>
              </w:rPr>
              <w:t>Type of Capital</w:t>
            </w:r>
          </w:p>
        </w:tc>
        <w:tc>
          <w:tcPr>
            <w:tcW w:w="2079" w:type="dxa"/>
          </w:tcPr>
          <w:p w14:paraId="7F3DC30D" w14:textId="77777777" w:rsidR="003F23CA" w:rsidRPr="005A1145" w:rsidRDefault="003F23CA" w:rsidP="00204A6E">
            <w:pPr>
              <w:tabs>
                <w:tab w:val="left" w:pos="0"/>
              </w:tabs>
              <w:spacing w:line="480" w:lineRule="exact"/>
              <w:jc w:val="center"/>
              <w:rPr>
                <w:szCs w:val="26"/>
                <w:u w:val="single"/>
              </w:rPr>
            </w:pPr>
            <w:r w:rsidRPr="005A1145">
              <w:rPr>
                <w:szCs w:val="26"/>
                <w:u w:val="single"/>
              </w:rPr>
              <w:t>Ratios</w:t>
            </w:r>
          </w:p>
        </w:tc>
        <w:tc>
          <w:tcPr>
            <w:tcW w:w="1230" w:type="dxa"/>
          </w:tcPr>
          <w:p w14:paraId="7F70C2F4" w14:textId="77777777" w:rsidR="003F23CA" w:rsidRPr="005A1145" w:rsidRDefault="003F23CA" w:rsidP="00204A6E">
            <w:pPr>
              <w:tabs>
                <w:tab w:val="left" w:pos="0"/>
              </w:tabs>
              <w:spacing w:line="480" w:lineRule="exact"/>
              <w:rPr>
                <w:szCs w:val="26"/>
                <w:u w:val="single"/>
              </w:rPr>
            </w:pPr>
            <w:r w:rsidRPr="005A1145">
              <w:rPr>
                <w:szCs w:val="26"/>
                <w:u w:val="single"/>
              </w:rPr>
              <w:t>Cost Rate</w:t>
            </w:r>
          </w:p>
        </w:tc>
        <w:tc>
          <w:tcPr>
            <w:tcW w:w="2370" w:type="dxa"/>
          </w:tcPr>
          <w:p w14:paraId="23F406F3" w14:textId="77777777" w:rsidR="003F23CA" w:rsidRPr="005A1145" w:rsidRDefault="003F23CA" w:rsidP="00204A6E">
            <w:pPr>
              <w:tabs>
                <w:tab w:val="left" w:pos="0"/>
              </w:tabs>
              <w:spacing w:line="480" w:lineRule="exact"/>
              <w:jc w:val="center"/>
              <w:rPr>
                <w:szCs w:val="26"/>
                <w:u w:val="single"/>
              </w:rPr>
            </w:pPr>
            <w:r w:rsidRPr="005A1145">
              <w:rPr>
                <w:szCs w:val="26"/>
                <w:u w:val="single"/>
              </w:rPr>
              <w:t>Weighted Cost Rate</w:t>
            </w:r>
          </w:p>
        </w:tc>
      </w:tr>
      <w:tr w:rsidR="005A1145" w:rsidRPr="005A1145" w14:paraId="01DED238" w14:textId="77777777" w:rsidTr="00625094">
        <w:trPr>
          <w:trHeight w:val="344"/>
        </w:trPr>
        <w:tc>
          <w:tcPr>
            <w:tcW w:w="2049" w:type="dxa"/>
          </w:tcPr>
          <w:p w14:paraId="254FE607" w14:textId="77777777" w:rsidR="003F23CA" w:rsidRPr="005A1145" w:rsidRDefault="003F23CA" w:rsidP="00204A6E">
            <w:pPr>
              <w:tabs>
                <w:tab w:val="left" w:pos="0"/>
              </w:tabs>
              <w:spacing w:line="480" w:lineRule="exact"/>
              <w:rPr>
                <w:szCs w:val="26"/>
              </w:rPr>
            </w:pPr>
            <w:r w:rsidRPr="005A1145">
              <w:rPr>
                <w:szCs w:val="26"/>
              </w:rPr>
              <w:t>Long-Term Debt</w:t>
            </w:r>
          </w:p>
        </w:tc>
        <w:tc>
          <w:tcPr>
            <w:tcW w:w="2079" w:type="dxa"/>
          </w:tcPr>
          <w:p w14:paraId="0538512B" w14:textId="1C0A65D4" w:rsidR="003F23CA" w:rsidRPr="005A1145" w:rsidRDefault="007F1F8F" w:rsidP="00204A6E">
            <w:pPr>
              <w:tabs>
                <w:tab w:val="left" w:pos="0"/>
              </w:tabs>
              <w:spacing w:line="480" w:lineRule="exact"/>
              <w:jc w:val="center"/>
              <w:rPr>
                <w:szCs w:val="26"/>
              </w:rPr>
            </w:pPr>
            <w:r>
              <w:rPr>
                <w:szCs w:val="26"/>
              </w:rPr>
              <w:t>45.00</w:t>
            </w:r>
            <w:r w:rsidR="009650E5" w:rsidRPr="005A1145">
              <w:rPr>
                <w:szCs w:val="26"/>
              </w:rPr>
              <w:t xml:space="preserve"> </w:t>
            </w:r>
            <w:r w:rsidR="003F23CA" w:rsidRPr="005A1145">
              <w:rPr>
                <w:szCs w:val="26"/>
              </w:rPr>
              <w:t>%</w:t>
            </w:r>
          </w:p>
        </w:tc>
        <w:tc>
          <w:tcPr>
            <w:tcW w:w="1230" w:type="dxa"/>
          </w:tcPr>
          <w:p w14:paraId="5C8EA20E" w14:textId="0AD965F9" w:rsidR="003F23CA" w:rsidRPr="005A1145" w:rsidRDefault="007F1F8F" w:rsidP="00204A6E">
            <w:pPr>
              <w:tabs>
                <w:tab w:val="left" w:pos="0"/>
              </w:tabs>
              <w:spacing w:line="480" w:lineRule="exact"/>
              <w:jc w:val="center"/>
              <w:rPr>
                <w:szCs w:val="26"/>
              </w:rPr>
            </w:pPr>
            <w:r>
              <w:rPr>
                <w:szCs w:val="26"/>
              </w:rPr>
              <w:t>6.26</w:t>
            </w:r>
            <w:r w:rsidR="009650E5" w:rsidRPr="005A1145">
              <w:rPr>
                <w:szCs w:val="26"/>
              </w:rPr>
              <w:t xml:space="preserve"> </w:t>
            </w:r>
            <w:r w:rsidR="003F23CA" w:rsidRPr="005A1145">
              <w:rPr>
                <w:szCs w:val="26"/>
              </w:rPr>
              <w:t>%</w:t>
            </w:r>
          </w:p>
        </w:tc>
        <w:tc>
          <w:tcPr>
            <w:tcW w:w="2370" w:type="dxa"/>
          </w:tcPr>
          <w:p w14:paraId="66EBDF35" w14:textId="5BA6AED2" w:rsidR="003F23CA" w:rsidRPr="005A1145" w:rsidRDefault="005A1145" w:rsidP="00204A6E">
            <w:pPr>
              <w:tabs>
                <w:tab w:val="left" w:pos="0"/>
              </w:tabs>
              <w:spacing w:line="480" w:lineRule="exact"/>
              <w:jc w:val="center"/>
              <w:rPr>
                <w:szCs w:val="26"/>
              </w:rPr>
            </w:pPr>
            <w:r w:rsidRPr="005A1145">
              <w:rPr>
                <w:szCs w:val="26"/>
              </w:rPr>
              <w:t>2.8</w:t>
            </w:r>
            <w:r w:rsidR="007F1F8F">
              <w:rPr>
                <w:szCs w:val="26"/>
              </w:rPr>
              <w:t>2</w:t>
            </w:r>
            <w:r w:rsidR="009650E5" w:rsidRPr="005A1145">
              <w:rPr>
                <w:szCs w:val="26"/>
              </w:rPr>
              <w:t xml:space="preserve"> </w:t>
            </w:r>
            <w:r w:rsidR="003F23CA" w:rsidRPr="005A1145">
              <w:rPr>
                <w:szCs w:val="26"/>
              </w:rPr>
              <w:t>%</w:t>
            </w:r>
          </w:p>
        </w:tc>
      </w:tr>
      <w:tr w:rsidR="005A1145" w:rsidRPr="005A1145" w14:paraId="30B3BD83" w14:textId="77777777" w:rsidTr="00625094">
        <w:trPr>
          <w:trHeight w:val="344"/>
        </w:trPr>
        <w:tc>
          <w:tcPr>
            <w:tcW w:w="2049" w:type="dxa"/>
          </w:tcPr>
          <w:p w14:paraId="5C335947" w14:textId="77777777" w:rsidR="003F23CA" w:rsidRPr="005A1145" w:rsidRDefault="003F23CA" w:rsidP="00204A6E">
            <w:pPr>
              <w:tabs>
                <w:tab w:val="left" w:pos="0"/>
              </w:tabs>
              <w:spacing w:line="480" w:lineRule="exact"/>
              <w:rPr>
                <w:szCs w:val="26"/>
              </w:rPr>
            </w:pPr>
            <w:r w:rsidRPr="005A1145">
              <w:rPr>
                <w:szCs w:val="26"/>
              </w:rPr>
              <w:t>Common Equity</w:t>
            </w:r>
          </w:p>
        </w:tc>
        <w:tc>
          <w:tcPr>
            <w:tcW w:w="2079" w:type="dxa"/>
          </w:tcPr>
          <w:p w14:paraId="38F4D5B5" w14:textId="1D2DD9F8" w:rsidR="003F23CA" w:rsidRPr="005A1145" w:rsidRDefault="007F1F8F" w:rsidP="00204A6E">
            <w:pPr>
              <w:tabs>
                <w:tab w:val="left" w:pos="0"/>
              </w:tabs>
              <w:spacing w:line="480" w:lineRule="exact"/>
              <w:jc w:val="center"/>
              <w:rPr>
                <w:szCs w:val="26"/>
                <w:u w:val="single"/>
              </w:rPr>
            </w:pPr>
            <w:r>
              <w:rPr>
                <w:szCs w:val="26"/>
                <w:u w:val="single"/>
              </w:rPr>
              <w:t>55.00</w:t>
            </w:r>
            <w:r w:rsidR="009650E5" w:rsidRPr="005A1145">
              <w:rPr>
                <w:szCs w:val="26"/>
                <w:u w:val="single"/>
              </w:rPr>
              <w:t xml:space="preserve"> </w:t>
            </w:r>
            <w:r w:rsidR="003F23CA" w:rsidRPr="005A1145">
              <w:rPr>
                <w:szCs w:val="26"/>
                <w:u w:val="single"/>
              </w:rPr>
              <w:t>%</w:t>
            </w:r>
          </w:p>
        </w:tc>
        <w:tc>
          <w:tcPr>
            <w:tcW w:w="1230" w:type="dxa"/>
          </w:tcPr>
          <w:p w14:paraId="23B7543A" w14:textId="29F0A445" w:rsidR="003F23CA" w:rsidRPr="005A1145" w:rsidRDefault="007F1F8F" w:rsidP="00204A6E">
            <w:pPr>
              <w:tabs>
                <w:tab w:val="left" w:pos="0"/>
              </w:tabs>
              <w:spacing w:line="480" w:lineRule="exact"/>
              <w:jc w:val="center"/>
              <w:rPr>
                <w:szCs w:val="26"/>
              </w:rPr>
            </w:pPr>
            <w:r>
              <w:rPr>
                <w:szCs w:val="26"/>
              </w:rPr>
              <w:t xml:space="preserve">10.00 </w:t>
            </w:r>
            <w:r w:rsidR="003F23CA" w:rsidRPr="005A1145">
              <w:rPr>
                <w:szCs w:val="26"/>
              </w:rPr>
              <w:t>%</w:t>
            </w:r>
          </w:p>
        </w:tc>
        <w:tc>
          <w:tcPr>
            <w:tcW w:w="2370" w:type="dxa"/>
          </w:tcPr>
          <w:p w14:paraId="4B26F5E2" w14:textId="29A2CAFF" w:rsidR="003F23CA" w:rsidRPr="005A1145" w:rsidRDefault="007F1F8F" w:rsidP="00204A6E">
            <w:pPr>
              <w:tabs>
                <w:tab w:val="left" w:pos="0"/>
              </w:tabs>
              <w:spacing w:line="480" w:lineRule="exact"/>
              <w:jc w:val="center"/>
              <w:rPr>
                <w:szCs w:val="26"/>
                <w:u w:val="single"/>
              </w:rPr>
            </w:pPr>
            <w:r>
              <w:rPr>
                <w:szCs w:val="26"/>
                <w:u w:val="single"/>
              </w:rPr>
              <w:t>5.50</w:t>
            </w:r>
            <w:r w:rsidR="009650E5" w:rsidRPr="005A1145">
              <w:rPr>
                <w:szCs w:val="26"/>
                <w:u w:val="single"/>
              </w:rPr>
              <w:t xml:space="preserve"> </w:t>
            </w:r>
            <w:r w:rsidR="003F23CA" w:rsidRPr="005A1145">
              <w:rPr>
                <w:szCs w:val="26"/>
                <w:u w:val="single"/>
              </w:rPr>
              <w:t>%</w:t>
            </w:r>
          </w:p>
        </w:tc>
      </w:tr>
      <w:tr w:rsidR="005A1145" w:rsidRPr="005A1145" w14:paraId="7147ED30" w14:textId="77777777" w:rsidTr="00625094">
        <w:trPr>
          <w:trHeight w:val="344"/>
        </w:trPr>
        <w:tc>
          <w:tcPr>
            <w:tcW w:w="2049" w:type="dxa"/>
          </w:tcPr>
          <w:p w14:paraId="7A7A1F55" w14:textId="77777777" w:rsidR="003F23CA" w:rsidRPr="005A1145" w:rsidRDefault="003F23CA" w:rsidP="00204A6E">
            <w:pPr>
              <w:tabs>
                <w:tab w:val="left" w:pos="0"/>
              </w:tabs>
              <w:spacing w:line="480" w:lineRule="exact"/>
              <w:jc w:val="center"/>
              <w:rPr>
                <w:szCs w:val="26"/>
              </w:rPr>
            </w:pPr>
            <w:r w:rsidRPr="005A1145">
              <w:rPr>
                <w:szCs w:val="26"/>
              </w:rPr>
              <w:t>Total</w:t>
            </w:r>
          </w:p>
        </w:tc>
        <w:tc>
          <w:tcPr>
            <w:tcW w:w="2079" w:type="dxa"/>
          </w:tcPr>
          <w:p w14:paraId="3A10EA6D" w14:textId="0EF4CE7E" w:rsidR="003F23CA" w:rsidRPr="005A1145" w:rsidRDefault="005A1145" w:rsidP="00204A6E">
            <w:pPr>
              <w:pStyle w:val="ListParagraph"/>
              <w:numPr>
                <w:ilvl w:val="0"/>
                <w:numId w:val="37"/>
              </w:numPr>
              <w:tabs>
                <w:tab w:val="left" w:pos="0"/>
              </w:tabs>
              <w:spacing w:line="480" w:lineRule="exact"/>
              <w:rPr>
                <w:szCs w:val="26"/>
                <w:u w:val="double"/>
              </w:rPr>
            </w:pPr>
            <w:r w:rsidRPr="005A1145">
              <w:rPr>
                <w:szCs w:val="26"/>
                <w:u w:val="double"/>
              </w:rPr>
              <w:t xml:space="preserve"> %</w:t>
            </w:r>
          </w:p>
        </w:tc>
        <w:tc>
          <w:tcPr>
            <w:tcW w:w="1230" w:type="dxa"/>
          </w:tcPr>
          <w:p w14:paraId="35FE3CD4" w14:textId="77777777" w:rsidR="003F23CA" w:rsidRPr="005A1145" w:rsidRDefault="003F23CA" w:rsidP="00204A6E">
            <w:pPr>
              <w:tabs>
                <w:tab w:val="left" w:pos="0"/>
              </w:tabs>
              <w:spacing w:line="480" w:lineRule="exact"/>
              <w:jc w:val="center"/>
              <w:rPr>
                <w:szCs w:val="26"/>
              </w:rPr>
            </w:pPr>
          </w:p>
        </w:tc>
        <w:tc>
          <w:tcPr>
            <w:tcW w:w="2370" w:type="dxa"/>
          </w:tcPr>
          <w:p w14:paraId="4B369051" w14:textId="77777777" w:rsidR="003F23CA" w:rsidRDefault="007F1F8F" w:rsidP="00204A6E">
            <w:pPr>
              <w:tabs>
                <w:tab w:val="left" w:pos="0"/>
              </w:tabs>
              <w:spacing w:line="480" w:lineRule="exact"/>
              <w:jc w:val="center"/>
              <w:rPr>
                <w:szCs w:val="26"/>
                <w:u w:val="double"/>
              </w:rPr>
            </w:pPr>
            <w:r>
              <w:rPr>
                <w:szCs w:val="26"/>
                <w:u w:val="double"/>
              </w:rPr>
              <w:t xml:space="preserve">8.32 </w:t>
            </w:r>
            <w:r w:rsidR="003F23CA" w:rsidRPr="005A1145">
              <w:rPr>
                <w:szCs w:val="26"/>
                <w:u w:val="double"/>
              </w:rPr>
              <w:t>%</w:t>
            </w:r>
          </w:p>
          <w:p w14:paraId="0C020853" w14:textId="77777777" w:rsidR="00682447" w:rsidRDefault="00682447" w:rsidP="00204A6E">
            <w:pPr>
              <w:tabs>
                <w:tab w:val="left" w:pos="0"/>
              </w:tabs>
              <w:spacing w:line="480" w:lineRule="exact"/>
              <w:jc w:val="center"/>
              <w:rPr>
                <w:szCs w:val="26"/>
                <w:u w:val="double"/>
              </w:rPr>
            </w:pPr>
          </w:p>
          <w:p w14:paraId="696C6F5A" w14:textId="77777777" w:rsidR="00E932E7" w:rsidRDefault="00E932E7" w:rsidP="00204A6E">
            <w:pPr>
              <w:tabs>
                <w:tab w:val="left" w:pos="0"/>
              </w:tabs>
              <w:spacing w:line="480" w:lineRule="exact"/>
              <w:jc w:val="center"/>
              <w:rPr>
                <w:szCs w:val="26"/>
                <w:u w:val="double"/>
              </w:rPr>
            </w:pPr>
          </w:p>
          <w:p w14:paraId="3C3B6F9C" w14:textId="77777777" w:rsidR="00E932E7" w:rsidRDefault="00E932E7" w:rsidP="00204A6E">
            <w:pPr>
              <w:tabs>
                <w:tab w:val="left" w:pos="0"/>
              </w:tabs>
              <w:spacing w:line="480" w:lineRule="exact"/>
              <w:jc w:val="center"/>
              <w:rPr>
                <w:szCs w:val="26"/>
                <w:u w:val="double"/>
              </w:rPr>
            </w:pPr>
          </w:p>
          <w:p w14:paraId="757053B3" w14:textId="2CA47579" w:rsidR="00E932E7" w:rsidRPr="005A1145" w:rsidRDefault="00E932E7" w:rsidP="00204A6E">
            <w:pPr>
              <w:tabs>
                <w:tab w:val="left" w:pos="0"/>
              </w:tabs>
              <w:spacing w:line="480" w:lineRule="exact"/>
              <w:jc w:val="center"/>
              <w:rPr>
                <w:szCs w:val="26"/>
                <w:u w:val="double"/>
              </w:rPr>
            </w:pPr>
          </w:p>
        </w:tc>
      </w:tr>
    </w:tbl>
    <w:p w14:paraId="6EE88D9F" w14:textId="1916FACB" w:rsidR="00E87427" w:rsidRPr="00BE295D" w:rsidRDefault="00E87427" w:rsidP="00204A6E">
      <w:pPr>
        <w:pStyle w:val="Heading1"/>
        <w:spacing w:line="480" w:lineRule="exact"/>
        <w:ind w:left="720" w:hanging="720"/>
      </w:pPr>
      <w:bookmarkStart w:id="6" w:name="_Toc54606362"/>
      <w:r w:rsidRPr="00BE295D">
        <w:lastRenderedPageBreak/>
        <w:t xml:space="preserve">STAFF </w:t>
      </w:r>
      <w:r w:rsidR="000B35A2">
        <w:t>RECOMMENDATION</w:t>
      </w:r>
      <w:bookmarkEnd w:id="6"/>
    </w:p>
    <w:p w14:paraId="6A8E095D" w14:textId="3822755D" w:rsidR="00E87427" w:rsidRPr="00944E19" w:rsidRDefault="00E87427" w:rsidP="00204A6E">
      <w:pPr>
        <w:spacing w:line="480" w:lineRule="exact"/>
        <w:ind w:left="720" w:hanging="720"/>
        <w:jc w:val="both"/>
        <w:rPr>
          <w:b/>
        </w:rPr>
      </w:pPr>
      <w:r w:rsidRPr="00944E19">
        <w:rPr>
          <w:b/>
        </w:rPr>
        <w:t>Q.</w:t>
      </w:r>
      <w:r w:rsidRPr="00944E19">
        <w:rPr>
          <w:b/>
        </w:rPr>
        <w:tab/>
        <w:t xml:space="preserve">Please summarize </w:t>
      </w:r>
      <w:r w:rsidR="000B35A2" w:rsidRPr="00944E19">
        <w:rPr>
          <w:b/>
        </w:rPr>
        <w:t>your</w:t>
      </w:r>
      <w:r w:rsidRPr="00944E19">
        <w:rPr>
          <w:b/>
        </w:rPr>
        <w:t xml:space="preserve"> recommendation in this </w:t>
      </w:r>
      <w:r w:rsidR="00A23AEF" w:rsidRPr="00944E19">
        <w:rPr>
          <w:b/>
        </w:rPr>
        <w:t>case</w:t>
      </w:r>
      <w:r w:rsidRPr="00944E19">
        <w:rPr>
          <w:b/>
        </w:rPr>
        <w:t>.</w:t>
      </w:r>
    </w:p>
    <w:p w14:paraId="660A37AF" w14:textId="5DD08DAB" w:rsidR="00E87427" w:rsidRPr="00944E19" w:rsidRDefault="00E87427" w:rsidP="00204A6E">
      <w:pPr>
        <w:spacing w:line="480" w:lineRule="exact"/>
        <w:ind w:left="720" w:hanging="720"/>
        <w:jc w:val="both"/>
        <w:rPr>
          <w:szCs w:val="26"/>
        </w:rPr>
      </w:pPr>
      <w:r w:rsidRPr="00944E19">
        <w:t>A.</w:t>
      </w:r>
      <w:r w:rsidRPr="00944E19">
        <w:tab/>
      </w:r>
      <w:r w:rsidR="000B35A2" w:rsidRPr="00944E19">
        <w:rPr>
          <w:szCs w:val="26"/>
        </w:rPr>
        <w:t>I</w:t>
      </w:r>
      <w:r w:rsidRPr="00944E19">
        <w:rPr>
          <w:szCs w:val="26"/>
        </w:rPr>
        <w:t xml:space="preserve"> recommend the following rate of return for </w:t>
      </w:r>
      <w:r w:rsidR="00700A2D" w:rsidRPr="00944E19">
        <w:rPr>
          <w:szCs w:val="26"/>
        </w:rPr>
        <w:t>Monarch</w:t>
      </w:r>
      <w:r w:rsidRPr="00944E19">
        <w:rPr>
          <w:szCs w:val="26"/>
        </w:rPr>
        <w:t>:</w:t>
      </w:r>
      <w:r w:rsidR="00E113D8" w:rsidRPr="00944E19">
        <w:rPr>
          <w:rStyle w:val="FootnoteReference"/>
          <w:szCs w:val="26"/>
        </w:rPr>
        <w:footnoteReference w:id="11"/>
      </w:r>
    </w:p>
    <w:tbl>
      <w:tblPr>
        <w:tblW w:w="0" w:type="auto"/>
        <w:tblInd w:w="1020" w:type="dxa"/>
        <w:tblLook w:val="04A0" w:firstRow="1" w:lastRow="0" w:firstColumn="1" w:lastColumn="0" w:noHBand="0" w:noVBand="1"/>
      </w:tblPr>
      <w:tblGrid>
        <w:gridCol w:w="2049"/>
        <w:gridCol w:w="2019"/>
        <w:gridCol w:w="1290"/>
        <w:gridCol w:w="2370"/>
      </w:tblGrid>
      <w:tr w:rsidR="004079F2" w:rsidRPr="00944E19" w14:paraId="431037DC" w14:textId="77777777" w:rsidTr="00894EA8">
        <w:trPr>
          <w:trHeight w:val="344"/>
        </w:trPr>
        <w:tc>
          <w:tcPr>
            <w:tcW w:w="2049" w:type="dxa"/>
          </w:tcPr>
          <w:p w14:paraId="31071AED" w14:textId="77777777" w:rsidR="00E87427" w:rsidRPr="00944E19" w:rsidRDefault="00E87427" w:rsidP="00204A6E">
            <w:pPr>
              <w:tabs>
                <w:tab w:val="left" w:pos="0"/>
              </w:tabs>
              <w:spacing w:line="480" w:lineRule="exact"/>
              <w:rPr>
                <w:szCs w:val="26"/>
                <w:u w:val="single"/>
              </w:rPr>
            </w:pPr>
            <w:r w:rsidRPr="00944E19">
              <w:rPr>
                <w:szCs w:val="26"/>
                <w:u w:val="single"/>
              </w:rPr>
              <w:t>Type of Capital</w:t>
            </w:r>
          </w:p>
        </w:tc>
        <w:tc>
          <w:tcPr>
            <w:tcW w:w="2019" w:type="dxa"/>
          </w:tcPr>
          <w:p w14:paraId="78A0D494" w14:textId="77777777" w:rsidR="00E87427" w:rsidRPr="00944E19" w:rsidRDefault="00E87427" w:rsidP="00204A6E">
            <w:pPr>
              <w:tabs>
                <w:tab w:val="left" w:pos="0"/>
              </w:tabs>
              <w:spacing w:line="480" w:lineRule="exact"/>
              <w:jc w:val="center"/>
              <w:rPr>
                <w:szCs w:val="26"/>
                <w:u w:val="single"/>
              </w:rPr>
            </w:pPr>
            <w:r w:rsidRPr="00944E19">
              <w:rPr>
                <w:szCs w:val="26"/>
                <w:u w:val="single"/>
              </w:rPr>
              <w:t>Ratios</w:t>
            </w:r>
          </w:p>
        </w:tc>
        <w:tc>
          <w:tcPr>
            <w:tcW w:w="1290" w:type="dxa"/>
          </w:tcPr>
          <w:p w14:paraId="4D0833D7" w14:textId="77777777" w:rsidR="00E87427" w:rsidRPr="00944E19" w:rsidRDefault="00E87427" w:rsidP="00204A6E">
            <w:pPr>
              <w:tabs>
                <w:tab w:val="left" w:pos="0"/>
              </w:tabs>
              <w:spacing w:line="480" w:lineRule="exact"/>
              <w:rPr>
                <w:szCs w:val="26"/>
                <w:u w:val="single"/>
              </w:rPr>
            </w:pPr>
            <w:r w:rsidRPr="00944E19">
              <w:rPr>
                <w:szCs w:val="26"/>
                <w:u w:val="single"/>
              </w:rPr>
              <w:t>Cost Rate</w:t>
            </w:r>
          </w:p>
        </w:tc>
        <w:tc>
          <w:tcPr>
            <w:tcW w:w="2370" w:type="dxa"/>
          </w:tcPr>
          <w:p w14:paraId="4EB9A588" w14:textId="77777777" w:rsidR="00E87427" w:rsidRPr="00944E19" w:rsidRDefault="00E87427" w:rsidP="00204A6E">
            <w:pPr>
              <w:tabs>
                <w:tab w:val="left" w:pos="0"/>
              </w:tabs>
              <w:spacing w:line="480" w:lineRule="exact"/>
              <w:jc w:val="center"/>
              <w:rPr>
                <w:szCs w:val="26"/>
                <w:u w:val="single"/>
              </w:rPr>
            </w:pPr>
            <w:r w:rsidRPr="00944E19">
              <w:rPr>
                <w:szCs w:val="26"/>
                <w:u w:val="single"/>
              </w:rPr>
              <w:t>Weighted Cost Rate</w:t>
            </w:r>
          </w:p>
        </w:tc>
      </w:tr>
      <w:tr w:rsidR="004079F2" w:rsidRPr="00944E19" w14:paraId="3B9291B3" w14:textId="77777777" w:rsidTr="00894EA8">
        <w:trPr>
          <w:trHeight w:val="344"/>
        </w:trPr>
        <w:tc>
          <w:tcPr>
            <w:tcW w:w="2049" w:type="dxa"/>
          </w:tcPr>
          <w:p w14:paraId="603BCA83" w14:textId="77777777" w:rsidR="00E87427" w:rsidRPr="00944E19" w:rsidRDefault="00E87427" w:rsidP="00204A6E">
            <w:pPr>
              <w:tabs>
                <w:tab w:val="left" w:pos="0"/>
              </w:tabs>
              <w:spacing w:line="480" w:lineRule="exact"/>
              <w:rPr>
                <w:szCs w:val="26"/>
              </w:rPr>
            </w:pPr>
            <w:r w:rsidRPr="00944E19">
              <w:rPr>
                <w:szCs w:val="26"/>
              </w:rPr>
              <w:t>Long-Term Debt</w:t>
            </w:r>
          </w:p>
        </w:tc>
        <w:tc>
          <w:tcPr>
            <w:tcW w:w="2019" w:type="dxa"/>
          </w:tcPr>
          <w:p w14:paraId="70D4EA64" w14:textId="272DE387" w:rsidR="00E87427" w:rsidRPr="00944E19" w:rsidRDefault="00E81480" w:rsidP="00204A6E">
            <w:pPr>
              <w:tabs>
                <w:tab w:val="left" w:pos="0"/>
              </w:tabs>
              <w:spacing w:line="480" w:lineRule="exact"/>
              <w:jc w:val="center"/>
              <w:rPr>
                <w:szCs w:val="26"/>
              </w:rPr>
            </w:pPr>
            <w:r w:rsidRPr="00944E19">
              <w:rPr>
                <w:szCs w:val="26"/>
              </w:rPr>
              <w:t>4</w:t>
            </w:r>
            <w:r w:rsidR="00700A2D" w:rsidRPr="00944E19">
              <w:rPr>
                <w:szCs w:val="26"/>
              </w:rPr>
              <w:t>6</w:t>
            </w:r>
            <w:r w:rsidRPr="00944E19">
              <w:rPr>
                <w:szCs w:val="26"/>
              </w:rPr>
              <w:t>.</w:t>
            </w:r>
            <w:r w:rsidR="00033F47" w:rsidRPr="00944E19">
              <w:rPr>
                <w:szCs w:val="26"/>
              </w:rPr>
              <w:t>0</w:t>
            </w:r>
            <w:r w:rsidR="002731E1" w:rsidRPr="00944E19">
              <w:rPr>
                <w:szCs w:val="26"/>
              </w:rPr>
              <w:t>0</w:t>
            </w:r>
            <w:r w:rsidR="00E87427" w:rsidRPr="00944E19">
              <w:rPr>
                <w:szCs w:val="26"/>
              </w:rPr>
              <w:t xml:space="preserve"> %</w:t>
            </w:r>
          </w:p>
        </w:tc>
        <w:tc>
          <w:tcPr>
            <w:tcW w:w="1290" w:type="dxa"/>
          </w:tcPr>
          <w:p w14:paraId="3330E043" w14:textId="711F9805" w:rsidR="00E87427" w:rsidRPr="00944E19" w:rsidRDefault="00700A2D" w:rsidP="00204A6E">
            <w:pPr>
              <w:tabs>
                <w:tab w:val="left" w:pos="0"/>
              </w:tabs>
              <w:spacing w:line="480" w:lineRule="exact"/>
              <w:jc w:val="center"/>
              <w:rPr>
                <w:szCs w:val="26"/>
              </w:rPr>
            </w:pPr>
            <w:r w:rsidRPr="00944E19">
              <w:rPr>
                <w:szCs w:val="26"/>
              </w:rPr>
              <w:t>6.17</w:t>
            </w:r>
            <w:r w:rsidR="00E87427" w:rsidRPr="00944E19">
              <w:rPr>
                <w:szCs w:val="26"/>
              </w:rPr>
              <w:t xml:space="preserve"> %</w:t>
            </w:r>
          </w:p>
        </w:tc>
        <w:tc>
          <w:tcPr>
            <w:tcW w:w="2370" w:type="dxa"/>
          </w:tcPr>
          <w:p w14:paraId="75182D66" w14:textId="143CDD1A" w:rsidR="00E87427" w:rsidRPr="00944E19" w:rsidRDefault="00700A2D" w:rsidP="00204A6E">
            <w:pPr>
              <w:tabs>
                <w:tab w:val="left" w:pos="0"/>
              </w:tabs>
              <w:spacing w:line="480" w:lineRule="exact"/>
              <w:jc w:val="center"/>
              <w:rPr>
                <w:szCs w:val="26"/>
              </w:rPr>
            </w:pPr>
            <w:r w:rsidRPr="00944E19">
              <w:rPr>
                <w:szCs w:val="26"/>
              </w:rPr>
              <w:t>2.84</w:t>
            </w:r>
            <w:r w:rsidR="00E87427" w:rsidRPr="00944E19">
              <w:rPr>
                <w:szCs w:val="26"/>
              </w:rPr>
              <w:t xml:space="preserve"> %</w:t>
            </w:r>
          </w:p>
        </w:tc>
      </w:tr>
      <w:tr w:rsidR="004079F2" w:rsidRPr="00944E19" w14:paraId="4CD39EB3" w14:textId="77777777" w:rsidTr="00894EA8">
        <w:trPr>
          <w:trHeight w:val="344"/>
        </w:trPr>
        <w:tc>
          <w:tcPr>
            <w:tcW w:w="2049" w:type="dxa"/>
          </w:tcPr>
          <w:p w14:paraId="00EC4C62" w14:textId="77777777" w:rsidR="00E87427" w:rsidRPr="00944E19" w:rsidRDefault="00E87427" w:rsidP="00204A6E">
            <w:pPr>
              <w:tabs>
                <w:tab w:val="left" w:pos="0"/>
              </w:tabs>
              <w:spacing w:line="480" w:lineRule="exact"/>
              <w:rPr>
                <w:szCs w:val="26"/>
              </w:rPr>
            </w:pPr>
            <w:r w:rsidRPr="00944E19">
              <w:rPr>
                <w:szCs w:val="26"/>
              </w:rPr>
              <w:t>Common Equity</w:t>
            </w:r>
          </w:p>
        </w:tc>
        <w:tc>
          <w:tcPr>
            <w:tcW w:w="2019" w:type="dxa"/>
          </w:tcPr>
          <w:p w14:paraId="043B029A" w14:textId="7B7BF93E" w:rsidR="00E87427" w:rsidRPr="00944E19" w:rsidRDefault="00E87427" w:rsidP="00204A6E">
            <w:pPr>
              <w:tabs>
                <w:tab w:val="left" w:pos="0"/>
              </w:tabs>
              <w:spacing w:line="480" w:lineRule="exact"/>
              <w:jc w:val="center"/>
              <w:rPr>
                <w:szCs w:val="26"/>
                <w:u w:val="single"/>
              </w:rPr>
            </w:pPr>
            <w:r w:rsidRPr="00944E19">
              <w:rPr>
                <w:szCs w:val="26"/>
                <w:u w:val="single"/>
              </w:rPr>
              <w:t>5</w:t>
            </w:r>
            <w:r w:rsidR="00700A2D" w:rsidRPr="00944E19">
              <w:rPr>
                <w:szCs w:val="26"/>
                <w:u w:val="single"/>
              </w:rPr>
              <w:t>4</w:t>
            </w:r>
            <w:r w:rsidR="00033F47" w:rsidRPr="00944E19">
              <w:rPr>
                <w:szCs w:val="26"/>
                <w:u w:val="single"/>
              </w:rPr>
              <w:t>.0</w:t>
            </w:r>
            <w:r w:rsidR="002731E1" w:rsidRPr="00944E19">
              <w:rPr>
                <w:szCs w:val="26"/>
                <w:u w:val="single"/>
              </w:rPr>
              <w:t>0</w:t>
            </w:r>
            <w:r w:rsidRPr="00944E19">
              <w:rPr>
                <w:szCs w:val="26"/>
                <w:u w:val="single"/>
              </w:rPr>
              <w:t xml:space="preserve"> %</w:t>
            </w:r>
          </w:p>
        </w:tc>
        <w:tc>
          <w:tcPr>
            <w:tcW w:w="1290" w:type="dxa"/>
          </w:tcPr>
          <w:p w14:paraId="66DF8DDC" w14:textId="5C1A98A5" w:rsidR="00E87427" w:rsidRPr="00944E19" w:rsidRDefault="00700A2D" w:rsidP="00204A6E">
            <w:pPr>
              <w:tabs>
                <w:tab w:val="left" w:pos="0"/>
              </w:tabs>
              <w:spacing w:line="480" w:lineRule="exact"/>
              <w:jc w:val="center"/>
              <w:rPr>
                <w:szCs w:val="26"/>
              </w:rPr>
            </w:pPr>
            <w:r w:rsidRPr="00944E19">
              <w:rPr>
                <w:szCs w:val="26"/>
              </w:rPr>
              <w:t>8.50</w:t>
            </w:r>
            <w:r w:rsidR="00E87427" w:rsidRPr="00944E19">
              <w:rPr>
                <w:szCs w:val="26"/>
              </w:rPr>
              <w:t xml:space="preserve"> %</w:t>
            </w:r>
          </w:p>
        </w:tc>
        <w:tc>
          <w:tcPr>
            <w:tcW w:w="2370" w:type="dxa"/>
          </w:tcPr>
          <w:p w14:paraId="295213F0" w14:textId="05CBDCF7" w:rsidR="00E87427" w:rsidRPr="00944E19" w:rsidRDefault="00700A2D" w:rsidP="00204A6E">
            <w:pPr>
              <w:tabs>
                <w:tab w:val="left" w:pos="0"/>
              </w:tabs>
              <w:spacing w:line="480" w:lineRule="exact"/>
              <w:jc w:val="center"/>
              <w:rPr>
                <w:szCs w:val="26"/>
                <w:u w:val="single"/>
              </w:rPr>
            </w:pPr>
            <w:r w:rsidRPr="00944E19">
              <w:rPr>
                <w:szCs w:val="26"/>
                <w:u w:val="single"/>
              </w:rPr>
              <w:t>4.59</w:t>
            </w:r>
            <w:r w:rsidR="00E87427" w:rsidRPr="00944E19">
              <w:rPr>
                <w:szCs w:val="26"/>
                <w:u w:val="single"/>
              </w:rPr>
              <w:t xml:space="preserve"> %</w:t>
            </w:r>
          </w:p>
        </w:tc>
      </w:tr>
      <w:tr w:rsidR="004079F2" w:rsidRPr="004079F2" w14:paraId="2B868B00" w14:textId="77777777" w:rsidTr="00894EA8">
        <w:trPr>
          <w:trHeight w:val="344"/>
        </w:trPr>
        <w:tc>
          <w:tcPr>
            <w:tcW w:w="2049" w:type="dxa"/>
          </w:tcPr>
          <w:p w14:paraId="6D7C21ED" w14:textId="77777777" w:rsidR="00E87427" w:rsidRPr="00944E19" w:rsidRDefault="00E87427" w:rsidP="00204A6E">
            <w:pPr>
              <w:tabs>
                <w:tab w:val="left" w:pos="0"/>
              </w:tabs>
              <w:spacing w:line="480" w:lineRule="exact"/>
              <w:jc w:val="center"/>
              <w:rPr>
                <w:szCs w:val="26"/>
              </w:rPr>
            </w:pPr>
            <w:r w:rsidRPr="00944E19">
              <w:rPr>
                <w:szCs w:val="26"/>
              </w:rPr>
              <w:t>Total</w:t>
            </w:r>
          </w:p>
        </w:tc>
        <w:tc>
          <w:tcPr>
            <w:tcW w:w="2019" w:type="dxa"/>
          </w:tcPr>
          <w:p w14:paraId="4E2E6653" w14:textId="77777777" w:rsidR="00E87427" w:rsidRPr="00944E19" w:rsidRDefault="00E87427" w:rsidP="00204A6E">
            <w:pPr>
              <w:tabs>
                <w:tab w:val="left" w:pos="0"/>
              </w:tabs>
              <w:spacing w:line="480" w:lineRule="exact"/>
              <w:jc w:val="center"/>
              <w:rPr>
                <w:szCs w:val="26"/>
                <w:u w:val="double"/>
              </w:rPr>
            </w:pPr>
            <w:r w:rsidRPr="00944E19">
              <w:rPr>
                <w:szCs w:val="26"/>
                <w:u w:val="double"/>
              </w:rPr>
              <w:t>100.00 %</w:t>
            </w:r>
          </w:p>
        </w:tc>
        <w:tc>
          <w:tcPr>
            <w:tcW w:w="1290" w:type="dxa"/>
          </w:tcPr>
          <w:p w14:paraId="65186746" w14:textId="77777777" w:rsidR="00E87427" w:rsidRPr="00944E19" w:rsidRDefault="00E87427" w:rsidP="00204A6E">
            <w:pPr>
              <w:tabs>
                <w:tab w:val="left" w:pos="0"/>
              </w:tabs>
              <w:spacing w:line="480" w:lineRule="exact"/>
              <w:jc w:val="center"/>
              <w:rPr>
                <w:szCs w:val="26"/>
              </w:rPr>
            </w:pPr>
          </w:p>
        </w:tc>
        <w:tc>
          <w:tcPr>
            <w:tcW w:w="2370" w:type="dxa"/>
          </w:tcPr>
          <w:p w14:paraId="743EE28F" w14:textId="4CF72CE7" w:rsidR="00E87427" w:rsidRPr="004079F2" w:rsidRDefault="00700A2D" w:rsidP="00204A6E">
            <w:pPr>
              <w:tabs>
                <w:tab w:val="left" w:pos="0"/>
              </w:tabs>
              <w:spacing w:line="480" w:lineRule="exact"/>
              <w:jc w:val="center"/>
              <w:rPr>
                <w:szCs w:val="26"/>
                <w:u w:val="double"/>
              </w:rPr>
            </w:pPr>
            <w:r w:rsidRPr="00944E19">
              <w:rPr>
                <w:szCs w:val="26"/>
                <w:u w:val="double"/>
              </w:rPr>
              <w:t>7.43</w:t>
            </w:r>
            <w:r w:rsidR="00E87427" w:rsidRPr="00944E19">
              <w:rPr>
                <w:szCs w:val="26"/>
                <w:u w:val="double"/>
              </w:rPr>
              <w:t xml:space="preserve"> %</w:t>
            </w:r>
          </w:p>
        </w:tc>
      </w:tr>
      <w:tr w:rsidR="00CD3F9A" w:rsidRPr="00BE295D" w14:paraId="0B89D637" w14:textId="77777777" w:rsidTr="00894EA8">
        <w:trPr>
          <w:trHeight w:val="344"/>
        </w:trPr>
        <w:tc>
          <w:tcPr>
            <w:tcW w:w="7728" w:type="dxa"/>
            <w:gridSpan w:val="4"/>
          </w:tcPr>
          <w:p w14:paraId="638F4D00" w14:textId="190C8E01" w:rsidR="00E87427" w:rsidRPr="00BE295D" w:rsidRDefault="00E87427" w:rsidP="00204A6E">
            <w:pPr>
              <w:tabs>
                <w:tab w:val="left" w:pos="0"/>
              </w:tabs>
              <w:spacing w:line="480" w:lineRule="exact"/>
              <w:rPr>
                <w:color w:val="4BACC6" w:themeColor="accent5"/>
                <w:szCs w:val="26"/>
              </w:rPr>
            </w:pPr>
          </w:p>
        </w:tc>
      </w:tr>
    </w:tbl>
    <w:p w14:paraId="097D6FC4" w14:textId="37D7F03F" w:rsidR="002F59DF" w:rsidRPr="004079F2" w:rsidRDefault="0094155E" w:rsidP="00204A6E">
      <w:pPr>
        <w:pStyle w:val="Heading1"/>
        <w:spacing w:line="480" w:lineRule="exact"/>
        <w:ind w:left="720" w:hanging="720"/>
      </w:pPr>
      <w:bookmarkStart w:id="7" w:name="_Toc54606363"/>
      <w:r w:rsidRPr="004079F2">
        <w:t xml:space="preserve">BAROMETER </w:t>
      </w:r>
      <w:r w:rsidR="00E113D8" w:rsidRPr="004079F2">
        <w:t xml:space="preserve">(PROXY) </w:t>
      </w:r>
      <w:r w:rsidRPr="004079F2">
        <w:t>GROUP</w:t>
      </w:r>
      <w:bookmarkEnd w:id="7"/>
    </w:p>
    <w:p w14:paraId="2C356AED" w14:textId="6F7ED6E7" w:rsidR="00BE3AD3" w:rsidRPr="004079F2" w:rsidRDefault="00BE3AD3" w:rsidP="00204A6E">
      <w:pPr>
        <w:tabs>
          <w:tab w:val="left" w:pos="0"/>
        </w:tabs>
        <w:spacing w:line="480" w:lineRule="exact"/>
        <w:ind w:left="720" w:hanging="720"/>
        <w:jc w:val="both"/>
        <w:rPr>
          <w:b/>
        </w:rPr>
      </w:pPr>
      <w:r w:rsidRPr="004079F2">
        <w:rPr>
          <w:b/>
        </w:rPr>
        <w:t>Q.</w:t>
      </w:r>
      <w:r w:rsidRPr="004079F2">
        <w:rPr>
          <w:b/>
        </w:rPr>
        <w:tab/>
        <w:t>W</w:t>
      </w:r>
      <w:r w:rsidR="00A23AEF" w:rsidRPr="004079F2">
        <w:rPr>
          <w:b/>
        </w:rPr>
        <w:t xml:space="preserve">hat is a </w:t>
      </w:r>
      <w:r w:rsidR="00B1259D" w:rsidRPr="004079F2">
        <w:rPr>
          <w:b/>
        </w:rPr>
        <w:t>b</w:t>
      </w:r>
      <w:r w:rsidR="002E7475" w:rsidRPr="004079F2">
        <w:rPr>
          <w:b/>
        </w:rPr>
        <w:t xml:space="preserve">arometer </w:t>
      </w:r>
      <w:r w:rsidR="00B1259D" w:rsidRPr="004079F2">
        <w:rPr>
          <w:b/>
        </w:rPr>
        <w:t>g</w:t>
      </w:r>
      <w:r w:rsidR="00A23AEF" w:rsidRPr="004079F2">
        <w:rPr>
          <w:b/>
        </w:rPr>
        <w:t>roup, as used in base rate cases</w:t>
      </w:r>
      <w:r w:rsidRPr="004079F2">
        <w:rPr>
          <w:b/>
        </w:rPr>
        <w:t>?</w:t>
      </w:r>
    </w:p>
    <w:p w14:paraId="60B415AE" w14:textId="7E7C7966" w:rsidR="00E65ED3" w:rsidRDefault="00BE3AD3" w:rsidP="00204A6E">
      <w:pPr>
        <w:tabs>
          <w:tab w:val="left" w:pos="0"/>
        </w:tabs>
        <w:spacing w:line="480" w:lineRule="exact"/>
        <w:ind w:left="720" w:hanging="720"/>
        <w:jc w:val="both"/>
      </w:pPr>
      <w:r w:rsidRPr="004079F2">
        <w:t>A.</w:t>
      </w:r>
      <w:r w:rsidRPr="004079F2">
        <w:tab/>
        <w:t xml:space="preserve">A </w:t>
      </w:r>
      <w:r w:rsidR="00E113D8" w:rsidRPr="004079F2">
        <w:t xml:space="preserve">barometer </w:t>
      </w:r>
      <w:r w:rsidRPr="004079F2">
        <w:t xml:space="preserve">group, also called a </w:t>
      </w:r>
      <w:r w:rsidR="00E113D8" w:rsidRPr="004079F2">
        <w:t xml:space="preserve">proxy </w:t>
      </w:r>
      <w:r w:rsidRPr="004079F2">
        <w:t xml:space="preserve">group, is a group of companies </w:t>
      </w:r>
      <w:r w:rsidR="00B1259D" w:rsidRPr="004079F2">
        <w:t xml:space="preserve">that serves </w:t>
      </w:r>
      <w:r w:rsidRPr="004079F2">
        <w:t xml:space="preserve">as a benchmark for determining the subject utility’s </w:t>
      </w:r>
      <w:r w:rsidR="009650E5" w:rsidRPr="004079F2">
        <w:t>rate of return</w:t>
      </w:r>
      <w:r w:rsidRPr="004079F2">
        <w:t xml:space="preserve"> in a base rate case. </w:t>
      </w:r>
    </w:p>
    <w:p w14:paraId="084A43CE" w14:textId="77777777" w:rsidR="008F2C2F" w:rsidRPr="004079F2" w:rsidRDefault="008F2C2F" w:rsidP="00E932E7">
      <w:pPr>
        <w:tabs>
          <w:tab w:val="left" w:pos="0"/>
        </w:tabs>
        <w:spacing w:line="240" w:lineRule="auto"/>
        <w:ind w:left="720" w:hanging="720"/>
        <w:jc w:val="both"/>
      </w:pPr>
    </w:p>
    <w:p w14:paraId="61E5CCD6" w14:textId="77777777" w:rsidR="00E87427" w:rsidRPr="004079F2" w:rsidRDefault="00E87427" w:rsidP="00204A6E">
      <w:pPr>
        <w:tabs>
          <w:tab w:val="left" w:pos="0"/>
        </w:tabs>
        <w:spacing w:line="480" w:lineRule="exact"/>
        <w:ind w:left="720" w:hanging="720"/>
        <w:jc w:val="both"/>
      </w:pPr>
      <w:r w:rsidRPr="004079F2">
        <w:rPr>
          <w:b/>
        </w:rPr>
        <w:t>Q.</w:t>
      </w:r>
      <w:r w:rsidRPr="004079F2">
        <w:rPr>
          <w:b/>
        </w:rPr>
        <w:tab/>
        <w:t>W</w:t>
      </w:r>
      <w:r w:rsidR="00A23AEF" w:rsidRPr="004079F2">
        <w:rPr>
          <w:b/>
        </w:rPr>
        <w:t>hat are the reasons for using a barometer group</w:t>
      </w:r>
      <w:r w:rsidRPr="004079F2">
        <w:rPr>
          <w:b/>
        </w:rPr>
        <w:t>?</w:t>
      </w:r>
    </w:p>
    <w:p w14:paraId="1F14BB8B" w14:textId="0FBCF2F0" w:rsidR="003503F5" w:rsidRDefault="00E87427" w:rsidP="00204A6E">
      <w:pPr>
        <w:tabs>
          <w:tab w:val="left" w:pos="0"/>
        </w:tabs>
        <w:spacing w:line="480" w:lineRule="exact"/>
        <w:ind w:left="720" w:hanging="720"/>
        <w:jc w:val="both"/>
      </w:pPr>
      <w:r w:rsidRPr="004079F2">
        <w:t>A.</w:t>
      </w:r>
      <w:r w:rsidRPr="004079F2">
        <w:tab/>
        <w:t>Many public utility companies are not publicly traded, and therefore</w:t>
      </w:r>
      <w:r w:rsidR="003503F5">
        <w:t>,</w:t>
      </w:r>
      <w:r w:rsidRPr="004079F2">
        <w:t xml:space="preserve"> lack specific market data.  A barometer group provides that industry specific market data</w:t>
      </w:r>
      <w:r w:rsidR="004079F2" w:rsidRPr="004079F2">
        <w:t xml:space="preserve"> and allows for a more accurate estimation of the true cost of equity</w:t>
      </w:r>
      <w:r w:rsidRPr="004079F2">
        <w:t xml:space="preserve">.  Furthermore, </w:t>
      </w:r>
      <w:r w:rsidR="00EA06E0" w:rsidRPr="004079F2">
        <w:t xml:space="preserve">the water utilities in </w:t>
      </w:r>
      <w:r w:rsidRPr="004079F2">
        <w:t xml:space="preserve">a barometer group share common characteristics </w:t>
      </w:r>
      <w:r w:rsidR="00B1259D" w:rsidRPr="004079F2">
        <w:t xml:space="preserve">with </w:t>
      </w:r>
      <w:r w:rsidRPr="004079F2">
        <w:t xml:space="preserve">regulated water distribution utilities and are well suited </w:t>
      </w:r>
      <w:r w:rsidR="00502C38" w:rsidRPr="004079F2">
        <w:t xml:space="preserve">for </w:t>
      </w:r>
      <w:r w:rsidRPr="004079F2">
        <w:t xml:space="preserve">comparison </w:t>
      </w:r>
      <w:r w:rsidR="00502C38" w:rsidRPr="004079F2">
        <w:t xml:space="preserve">to </w:t>
      </w:r>
      <w:r w:rsidRPr="004079F2">
        <w:t>utility companies.  This comparative method is a standard approach in utility rate cases.</w:t>
      </w:r>
    </w:p>
    <w:p w14:paraId="5EC09E41" w14:textId="77777777" w:rsidR="00DF66B7" w:rsidRPr="004079F2" w:rsidRDefault="00DF66B7" w:rsidP="00E932E7">
      <w:pPr>
        <w:tabs>
          <w:tab w:val="left" w:pos="0"/>
        </w:tabs>
        <w:spacing w:line="240" w:lineRule="auto"/>
        <w:ind w:left="720" w:hanging="720"/>
        <w:jc w:val="both"/>
      </w:pPr>
    </w:p>
    <w:p w14:paraId="60903795" w14:textId="77777777" w:rsidR="00BE3AD3" w:rsidRPr="004079F2" w:rsidRDefault="00E87427" w:rsidP="00204A6E">
      <w:pPr>
        <w:tabs>
          <w:tab w:val="left" w:pos="0"/>
        </w:tabs>
        <w:spacing w:line="480" w:lineRule="exact"/>
        <w:ind w:left="720" w:hanging="720"/>
        <w:jc w:val="both"/>
      </w:pPr>
      <w:r w:rsidRPr="004079F2">
        <w:rPr>
          <w:b/>
        </w:rPr>
        <w:t>Q.</w:t>
      </w:r>
      <w:r w:rsidRPr="004079F2">
        <w:rPr>
          <w:b/>
        </w:rPr>
        <w:tab/>
      </w:r>
      <w:r w:rsidR="00BE3AD3" w:rsidRPr="004079F2">
        <w:rPr>
          <w:b/>
        </w:rPr>
        <w:t>A</w:t>
      </w:r>
      <w:r w:rsidR="00A23AEF" w:rsidRPr="004079F2">
        <w:rPr>
          <w:b/>
        </w:rPr>
        <w:t>re there additional reasons for using a barometer group</w:t>
      </w:r>
      <w:r w:rsidR="00BE3AD3" w:rsidRPr="004079F2">
        <w:rPr>
          <w:b/>
        </w:rPr>
        <w:t>?</w:t>
      </w:r>
    </w:p>
    <w:p w14:paraId="17B12A8B" w14:textId="7290A49F" w:rsidR="00BE3AD3" w:rsidRPr="004079F2" w:rsidRDefault="00BE3AD3" w:rsidP="00204A6E">
      <w:pPr>
        <w:tabs>
          <w:tab w:val="left" w:pos="0"/>
        </w:tabs>
        <w:spacing w:line="480" w:lineRule="exact"/>
        <w:ind w:left="720" w:hanging="720"/>
        <w:jc w:val="both"/>
      </w:pPr>
      <w:r w:rsidRPr="004079F2">
        <w:t>A.</w:t>
      </w:r>
      <w:r w:rsidRPr="004079F2">
        <w:tab/>
      </w:r>
      <w:r w:rsidR="00E87427" w:rsidRPr="004079F2">
        <w:t xml:space="preserve">Yes.  </w:t>
      </w:r>
      <w:r w:rsidRPr="004079F2">
        <w:t xml:space="preserve">A barometer group is typically utilized </w:t>
      </w:r>
      <w:r w:rsidR="00B1259D" w:rsidRPr="004079F2">
        <w:t xml:space="preserve">because </w:t>
      </w:r>
      <w:r w:rsidRPr="004079F2">
        <w:t xml:space="preserve">the use of data exclusively from one company may be less reliable than </w:t>
      </w:r>
      <w:r w:rsidR="002E7475" w:rsidRPr="004079F2">
        <w:t>the use of data from a</w:t>
      </w:r>
      <w:r w:rsidRPr="004079F2">
        <w:t xml:space="preserve"> group</w:t>
      </w:r>
      <w:r w:rsidR="002E7475" w:rsidRPr="004079F2">
        <w:t xml:space="preserve"> of companies</w:t>
      </w:r>
      <w:r w:rsidRPr="004079F2">
        <w:t xml:space="preserve">.  The lower </w:t>
      </w:r>
      <w:r w:rsidRPr="004079F2">
        <w:lastRenderedPageBreak/>
        <w:t xml:space="preserve">reliability occurs because the data for one company may be subject to events </w:t>
      </w:r>
      <w:r w:rsidR="00B1259D" w:rsidRPr="004079F2">
        <w:t xml:space="preserve">that </w:t>
      </w:r>
      <w:r w:rsidRPr="004079F2">
        <w:t>can cause short-term anomalies in the marketplace</w:t>
      </w:r>
      <w:r w:rsidR="000B35A2">
        <w:t>’s perception of that company</w:t>
      </w:r>
      <w:r w:rsidRPr="004079F2">
        <w:t xml:space="preserve">.  The </w:t>
      </w:r>
      <w:r w:rsidR="009650E5" w:rsidRPr="004079F2">
        <w:t>rate of return</w:t>
      </w:r>
      <w:r w:rsidRPr="004079F2">
        <w:t xml:space="preserve"> on common equity for a single company could become distorted in these particular circumstances, and would therefore not be representative of similarly situated companies.  The use of a barometer group has the effect of smoothing out potential anomalies associated with a single company.</w:t>
      </w:r>
    </w:p>
    <w:p w14:paraId="30C91E1A" w14:textId="0580E551" w:rsidR="003503F5" w:rsidRDefault="00BE3AD3" w:rsidP="00204A6E">
      <w:pPr>
        <w:tabs>
          <w:tab w:val="left" w:pos="0"/>
        </w:tabs>
        <w:spacing w:line="480" w:lineRule="exact"/>
        <w:ind w:left="720" w:hanging="720"/>
        <w:jc w:val="both"/>
      </w:pPr>
      <w:r w:rsidRPr="004079F2">
        <w:tab/>
      </w:r>
      <w:r w:rsidRPr="004079F2">
        <w:tab/>
      </w:r>
      <w:r w:rsidRPr="004079F2">
        <w:tab/>
      </w:r>
      <w:r w:rsidR="003503F5">
        <w:tab/>
      </w:r>
      <w:r w:rsidR="00657367">
        <w:t>U</w:t>
      </w:r>
      <w:r w:rsidR="009F40EC">
        <w:t>sing a</w:t>
      </w:r>
      <w:r w:rsidRPr="004079F2">
        <w:t xml:space="preserve"> barometer group cost of equity as a benchmark </w:t>
      </w:r>
      <w:r w:rsidR="00657367">
        <w:t xml:space="preserve">also </w:t>
      </w:r>
      <w:r w:rsidRPr="004079F2">
        <w:t>satisf</w:t>
      </w:r>
      <w:r w:rsidR="009F40EC">
        <w:t>ies</w:t>
      </w:r>
      <w:r w:rsidRPr="004079F2">
        <w:t xml:space="preserve"> the </w:t>
      </w:r>
      <w:r w:rsidR="00131107" w:rsidRPr="004079F2">
        <w:t>long</w:t>
      </w:r>
      <w:r w:rsidR="00131107">
        <w:t>-established</w:t>
      </w:r>
      <w:r w:rsidRPr="004079F2">
        <w:t xml:space="preserve"> guideline of utility regulation that seeks to provide the subject utility with the opportunity to earn a return equal to that of similar risk enterprises.</w:t>
      </w:r>
    </w:p>
    <w:p w14:paraId="02EA5780" w14:textId="77777777" w:rsidR="00E932E7" w:rsidRDefault="00E932E7" w:rsidP="00E932E7">
      <w:pPr>
        <w:tabs>
          <w:tab w:val="left" w:pos="0"/>
        </w:tabs>
        <w:spacing w:line="240" w:lineRule="auto"/>
        <w:ind w:left="720" w:hanging="720"/>
        <w:jc w:val="both"/>
        <w:rPr>
          <w:b/>
        </w:rPr>
      </w:pPr>
    </w:p>
    <w:p w14:paraId="2FFB7F4C" w14:textId="7F3A8417" w:rsidR="00BE3AD3" w:rsidRPr="004079F2" w:rsidRDefault="00BE3AD3" w:rsidP="00204A6E">
      <w:pPr>
        <w:tabs>
          <w:tab w:val="left" w:pos="0"/>
        </w:tabs>
        <w:spacing w:line="480" w:lineRule="exact"/>
        <w:ind w:left="720" w:hanging="720"/>
        <w:jc w:val="both"/>
        <w:rPr>
          <w:b/>
        </w:rPr>
      </w:pPr>
      <w:r w:rsidRPr="004079F2">
        <w:rPr>
          <w:b/>
        </w:rPr>
        <w:t>Q.</w:t>
      </w:r>
      <w:r w:rsidRPr="004079F2">
        <w:rPr>
          <w:b/>
        </w:rPr>
        <w:tab/>
        <w:t>W</w:t>
      </w:r>
      <w:r w:rsidR="00A23AEF" w:rsidRPr="004079F2">
        <w:rPr>
          <w:b/>
        </w:rPr>
        <w:t>hat criteria did you use in selecting your barometer group companies</w:t>
      </w:r>
      <w:r w:rsidRPr="004079F2">
        <w:rPr>
          <w:b/>
        </w:rPr>
        <w:t>?</w:t>
      </w:r>
    </w:p>
    <w:p w14:paraId="152104C4" w14:textId="680BADA5" w:rsidR="003503F5" w:rsidRDefault="00BE3AD3" w:rsidP="00204A6E">
      <w:pPr>
        <w:tabs>
          <w:tab w:val="left" w:pos="0"/>
        </w:tabs>
        <w:spacing w:line="480" w:lineRule="exact"/>
        <w:ind w:left="720" w:hanging="720"/>
        <w:jc w:val="both"/>
      </w:pPr>
      <w:r w:rsidRPr="004079F2">
        <w:t>A.</w:t>
      </w:r>
      <w:r w:rsidRPr="004079F2">
        <w:tab/>
      </w:r>
      <w:r w:rsidR="00870D9E" w:rsidRPr="004079F2">
        <w:t xml:space="preserve">As </w:t>
      </w:r>
      <w:r w:rsidR="000B35A2">
        <w:t xml:space="preserve">I have done </w:t>
      </w:r>
      <w:r w:rsidR="00870D9E" w:rsidRPr="004079F2">
        <w:t xml:space="preserve">in this </w:t>
      </w:r>
      <w:r w:rsidR="003503F5">
        <w:t>proceeding</w:t>
      </w:r>
      <w:r w:rsidR="00870D9E" w:rsidRPr="004079F2">
        <w:t xml:space="preserve">, </w:t>
      </w:r>
      <w:r w:rsidR="007A4C09" w:rsidRPr="004079F2">
        <w:t>I generally</w:t>
      </w:r>
      <w:r w:rsidRPr="004079F2">
        <w:t xml:space="preserve"> use the following criteria</w:t>
      </w:r>
      <w:r w:rsidR="007A4C09" w:rsidRPr="004079F2">
        <w:t xml:space="preserve"> when selecting a barometer group</w:t>
      </w:r>
      <w:r w:rsidRPr="004079F2">
        <w:t>: 1) 50% or more of the company’s revenues must be generated from the water utility distribution industry; 2) the company’s stock must be publicly traded; 3) investment information for the company must be available from more than one source;</w:t>
      </w:r>
      <w:r w:rsidR="00E87427" w:rsidRPr="004079F2">
        <w:t xml:space="preserve"> and</w:t>
      </w:r>
      <w:r w:rsidRPr="004079F2">
        <w:t xml:space="preserve"> 4) the company must not be currently involved</w:t>
      </w:r>
      <w:r w:rsidR="00B1259D" w:rsidRPr="004079F2">
        <w:t xml:space="preserve"> or </w:t>
      </w:r>
      <w:r w:rsidRPr="004079F2">
        <w:t>targeted in an announced merger or acquisition</w:t>
      </w:r>
      <w:r w:rsidR="00E87427" w:rsidRPr="004079F2">
        <w:t>.</w:t>
      </w:r>
      <w:r w:rsidRPr="004079F2">
        <w:t xml:space="preserve"> </w:t>
      </w:r>
    </w:p>
    <w:p w14:paraId="2874BBAC" w14:textId="77777777" w:rsidR="008E0D83" w:rsidRDefault="008E0D83" w:rsidP="00E932E7">
      <w:pPr>
        <w:tabs>
          <w:tab w:val="left" w:pos="0"/>
        </w:tabs>
        <w:spacing w:line="240" w:lineRule="auto"/>
        <w:ind w:left="720" w:hanging="720"/>
        <w:jc w:val="both"/>
        <w:rPr>
          <w:b/>
        </w:rPr>
      </w:pPr>
    </w:p>
    <w:p w14:paraId="25A44AEC" w14:textId="745CD56D" w:rsidR="006F7F77" w:rsidRPr="004079F2" w:rsidRDefault="006F7F77" w:rsidP="00204A6E">
      <w:pPr>
        <w:tabs>
          <w:tab w:val="left" w:pos="0"/>
        </w:tabs>
        <w:spacing w:line="480" w:lineRule="exact"/>
        <w:ind w:left="720" w:hanging="720"/>
        <w:jc w:val="both"/>
        <w:rPr>
          <w:b/>
        </w:rPr>
      </w:pPr>
      <w:r w:rsidRPr="004079F2">
        <w:rPr>
          <w:b/>
        </w:rPr>
        <w:t>Q.</w:t>
      </w:r>
      <w:r w:rsidRPr="004079F2">
        <w:rPr>
          <w:b/>
        </w:rPr>
        <w:tab/>
      </w:r>
      <w:r w:rsidR="006C10BD">
        <w:rPr>
          <w:b/>
        </w:rPr>
        <w:t>What criteria did Mr. Bruce Fairchild use in selecting his barometer group companies</w:t>
      </w:r>
      <w:r w:rsidR="00DC51B3" w:rsidRPr="004079F2">
        <w:rPr>
          <w:b/>
        </w:rPr>
        <w:t>?</w:t>
      </w:r>
    </w:p>
    <w:p w14:paraId="6BB45E02" w14:textId="0BCA3729" w:rsidR="003503F5" w:rsidRDefault="006F7F77" w:rsidP="00204A6E">
      <w:pPr>
        <w:tabs>
          <w:tab w:val="left" w:pos="0"/>
        </w:tabs>
        <w:spacing w:line="480" w:lineRule="exact"/>
        <w:ind w:left="720" w:hanging="720"/>
        <w:jc w:val="both"/>
      </w:pPr>
      <w:r w:rsidRPr="004079F2">
        <w:t>A.</w:t>
      </w:r>
      <w:r w:rsidRPr="004079F2">
        <w:tab/>
      </w:r>
      <w:r w:rsidR="006C10BD">
        <w:t xml:space="preserve">Mr. Fairchild uses the publicly traded water and wastewater utilities included in </w:t>
      </w:r>
      <w:r w:rsidR="006C10BD">
        <w:rPr>
          <w:i/>
          <w:iCs/>
        </w:rPr>
        <w:t xml:space="preserve">The Value Line Investment Survey’s </w:t>
      </w:r>
      <w:r w:rsidR="006C10BD">
        <w:t>“Water Utility Industry.”</w:t>
      </w:r>
    </w:p>
    <w:p w14:paraId="67B2E068" w14:textId="77777777" w:rsidR="00944E19" w:rsidRDefault="00944E19" w:rsidP="00E932E7">
      <w:pPr>
        <w:tabs>
          <w:tab w:val="left" w:pos="0"/>
        </w:tabs>
        <w:spacing w:line="240" w:lineRule="auto"/>
        <w:ind w:left="720" w:hanging="720"/>
        <w:jc w:val="both"/>
      </w:pPr>
    </w:p>
    <w:p w14:paraId="2D664825" w14:textId="77777777" w:rsidR="00BE3AD3" w:rsidRPr="004079F2" w:rsidRDefault="00A23AEF" w:rsidP="00204A6E">
      <w:pPr>
        <w:tabs>
          <w:tab w:val="left" w:pos="0"/>
        </w:tabs>
        <w:spacing w:line="480" w:lineRule="exact"/>
        <w:ind w:left="720" w:hanging="720"/>
        <w:jc w:val="both"/>
        <w:rPr>
          <w:b/>
        </w:rPr>
      </w:pPr>
      <w:r w:rsidRPr="004079F2">
        <w:rPr>
          <w:b/>
        </w:rPr>
        <w:t>Q.</w:t>
      </w:r>
      <w:r w:rsidRPr="004079F2">
        <w:rPr>
          <w:b/>
        </w:rPr>
        <w:tab/>
        <w:t>What barometer group did you use in your analysis</w:t>
      </w:r>
      <w:r w:rsidR="00BE3AD3" w:rsidRPr="004079F2">
        <w:rPr>
          <w:b/>
        </w:rPr>
        <w:t>?</w:t>
      </w:r>
    </w:p>
    <w:p w14:paraId="518EDBB9" w14:textId="2A93BB81" w:rsidR="003503F5" w:rsidRDefault="00BE3AD3" w:rsidP="00204A6E">
      <w:pPr>
        <w:tabs>
          <w:tab w:val="left" w:pos="0"/>
        </w:tabs>
        <w:spacing w:line="480" w:lineRule="exact"/>
        <w:ind w:left="720" w:hanging="720"/>
        <w:jc w:val="both"/>
      </w:pPr>
      <w:r w:rsidRPr="004079F2">
        <w:t>A.</w:t>
      </w:r>
      <w:r w:rsidRPr="004079F2">
        <w:tab/>
        <w:t xml:space="preserve">I selected American States Water Company, American Water Works, California Water Service Group, </w:t>
      </w:r>
      <w:r w:rsidR="006C10BD">
        <w:t xml:space="preserve">Essential Utilities, </w:t>
      </w:r>
      <w:r w:rsidRPr="004079F2">
        <w:t xml:space="preserve">Middlesex Water, </w:t>
      </w:r>
      <w:r w:rsidR="00395F86">
        <w:t xml:space="preserve">SJW Group, </w:t>
      </w:r>
      <w:r w:rsidRPr="004079F2">
        <w:t xml:space="preserve">and York Water. </w:t>
      </w:r>
    </w:p>
    <w:p w14:paraId="008D086D" w14:textId="77777777" w:rsidR="00E932E7" w:rsidRDefault="00E932E7" w:rsidP="00E932E7">
      <w:pPr>
        <w:tabs>
          <w:tab w:val="left" w:pos="0"/>
        </w:tabs>
        <w:spacing w:line="240" w:lineRule="auto"/>
        <w:ind w:left="720" w:hanging="720"/>
        <w:jc w:val="both"/>
      </w:pPr>
    </w:p>
    <w:p w14:paraId="233C245C" w14:textId="1F8E1305" w:rsidR="006C10BD" w:rsidRDefault="006C10BD" w:rsidP="00204A6E">
      <w:pPr>
        <w:tabs>
          <w:tab w:val="left" w:pos="0"/>
        </w:tabs>
        <w:spacing w:line="480" w:lineRule="exact"/>
        <w:ind w:left="720" w:hanging="720"/>
        <w:jc w:val="both"/>
        <w:rPr>
          <w:b/>
          <w:bCs/>
        </w:rPr>
      </w:pPr>
      <w:r>
        <w:rPr>
          <w:b/>
          <w:bCs/>
        </w:rPr>
        <w:lastRenderedPageBreak/>
        <w:t>Q.</w:t>
      </w:r>
      <w:r>
        <w:rPr>
          <w:b/>
          <w:bCs/>
        </w:rPr>
        <w:tab/>
        <w:t>What barometer group did Mr. Fairchild use in his analysis?</w:t>
      </w:r>
    </w:p>
    <w:p w14:paraId="570E1293" w14:textId="035D13A7" w:rsidR="006C10BD" w:rsidRDefault="006C10BD" w:rsidP="00204A6E">
      <w:pPr>
        <w:tabs>
          <w:tab w:val="left" w:pos="0"/>
        </w:tabs>
        <w:spacing w:line="480" w:lineRule="exact"/>
        <w:ind w:left="720" w:hanging="720"/>
        <w:jc w:val="both"/>
      </w:pPr>
      <w:r>
        <w:t>A.</w:t>
      </w:r>
      <w:r>
        <w:tab/>
        <w:t>Mr. Fairchild uses the same group of companies.</w:t>
      </w:r>
    </w:p>
    <w:p w14:paraId="47A3131D" w14:textId="77777777" w:rsidR="006C10BD" w:rsidRPr="006C10BD" w:rsidRDefault="006C10BD" w:rsidP="00204A6E">
      <w:pPr>
        <w:spacing w:line="480" w:lineRule="exact"/>
      </w:pPr>
    </w:p>
    <w:p w14:paraId="4002FF65" w14:textId="77777777" w:rsidR="00BE3AD3" w:rsidRPr="004079F2" w:rsidRDefault="00BE3AD3" w:rsidP="00204A6E">
      <w:pPr>
        <w:pStyle w:val="Heading1"/>
        <w:spacing w:line="480" w:lineRule="exact"/>
        <w:ind w:left="720" w:hanging="720"/>
      </w:pPr>
      <w:bookmarkStart w:id="8" w:name="_Toc343506793"/>
      <w:bookmarkStart w:id="9" w:name="_Toc435102587"/>
      <w:bookmarkStart w:id="10" w:name="_Toc54606364"/>
      <w:r w:rsidRPr="004079F2">
        <w:t>CAPITAL STRUCTURE</w:t>
      </w:r>
      <w:bookmarkEnd w:id="8"/>
      <w:bookmarkEnd w:id="9"/>
      <w:bookmarkEnd w:id="10"/>
    </w:p>
    <w:p w14:paraId="4E0C8C93" w14:textId="77777777" w:rsidR="00BE3AD3" w:rsidRPr="004079F2" w:rsidRDefault="00BE3AD3" w:rsidP="00204A6E">
      <w:pPr>
        <w:spacing w:line="480" w:lineRule="exact"/>
        <w:ind w:left="720" w:hanging="720"/>
        <w:jc w:val="both"/>
        <w:rPr>
          <w:b/>
        </w:rPr>
      </w:pPr>
      <w:r w:rsidRPr="004079F2">
        <w:rPr>
          <w:b/>
        </w:rPr>
        <w:t>Q.</w:t>
      </w:r>
      <w:r w:rsidRPr="004079F2">
        <w:rPr>
          <w:b/>
        </w:rPr>
        <w:tab/>
        <w:t>W</w:t>
      </w:r>
      <w:r w:rsidR="00CF7244" w:rsidRPr="004079F2">
        <w:rPr>
          <w:b/>
        </w:rPr>
        <w:t>hat does capital structure represent in a rate case</w:t>
      </w:r>
      <w:r w:rsidRPr="004079F2">
        <w:rPr>
          <w:b/>
        </w:rPr>
        <w:t>?</w:t>
      </w:r>
    </w:p>
    <w:p w14:paraId="07F3A73F" w14:textId="5C125706" w:rsidR="00055601" w:rsidRDefault="00BE3AD3" w:rsidP="00204A6E">
      <w:pPr>
        <w:spacing w:line="480" w:lineRule="exact"/>
        <w:ind w:left="720" w:hanging="720"/>
        <w:jc w:val="both"/>
      </w:pPr>
      <w:r w:rsidRPr="004079F2">
        <w:t>A.</w:t>
      </w:r>
      <w:r w:rsidRPr="004079F2">
        <w:tab/>
        <w:t>Capital structure represents the financing of long-term assets (rate base).  The primary forms of financing employed by public utilities include debt and common equity.</w:t>
      </w:r>
    </w:p>
    <w:p w14:paraId="46A16403" w14:textId="77777777" w:rsidR="00E65ED3" w:rsidRDefault="00E65ED3" w:rsidP="00E932E7">
      <w:pPr>
        <w:spacing w:line="240" w:lineRule="auto"/>
        <w:ind w:left="720" w:hanging="720"/>
        <w:jc w:val="both"/>
      </w:pPr>
    </w:p>
    <w:p w14:paraId="22669052" w14:textId="03A01831" w:rsidR="00BE3AD3" w:rsidRPr="004079F2" w:rsidRDefault="00BE3AD3" w:rsidP="00204A6E">
      <w:pPr>
        <w:tabs>
          <w:tab w:val="left" w:pos="0"/>
        </w:tabs>
        <w:spacing w:line="480" w:lineRule="exact"/>
        <w:ind w:left="720" w:hanging="720"/>
        <w:jc w:val="both"/>
        <w:rPr>
          <w:b/>
        </w:rPr>
      </w:pPr>
      <w:r w:rsidRPr="004079F2">
        <w:rPr>
          <w:b/>
        </w:rPr>
        <w:t>Q.</w:t>
      </w:r>
      <w:r w:rsidRPr="004079F2">
        <w:rPr>
          <w:b/>
        </w:rPr>
        <w:tab/>
      </w:r>
      <w:r w:rsidR="00CF7244" w:rsidRPr="004079F2">
        <w:rPr>
          <w:b/>
        </w:rPr>
        <w:t xml:space="preserve">What is </w:t>
      </w:r>
      <w:r w:rsidR="006C10BD">
        <w:rPr>
          <w:b/>
        </w:rPr>
        <w:t>Monarch’s</w:t>
      </w:r>
      <w:r w:rsidR="00CF7244" w:rsidRPr="004079F2">
        <w:rPr>
          <w:b/>
        </w:rPr>
        <w:t xml:space="preserve"> claimed capital structure</w:t>
      </w:r>
      <w:r w:rsidRPr="004079F2">
        <w:rPr>
          <w:b/>
        </w:rPr>
        <w:t>?</w:t>
      </w:r>
    </w:p>
    <w:p w14:paraId="028D4EBB" w14:textId="28F4B1B6" w:rsidR="00055601" w:rsidRDefault="00BE3AD3" w:rsidP="00204A6E">
      <w:pPr>
        <w:tabs>
          <w:tab w:val="left" w:pos="0"/>
        </w:tabs>
        <w:spacing w:line="480" w:lineRule="exact"/>
        <w:ind w:left="720" w:hanging="720"/>
        <w:jc w:val="both"/>
      </w:pPr>
      <w:r w:rsidRPr="004079F2">
        <w:t>A.</w:t>
      </w:r>
      <w:r w:rsidRPr="004079F2">
        <w:tab/>
      </w:r>
      <w:r w:rsidR="006C10BD">
        <w:t>Monarch</w:t>
      </w:r>
      <w:r w:rsidRPr="004079F2">
        <w:t xml:space="preserve"> is claiming </w:t>
      </w:r>
      <w:r w:rsidR="006C10BD">
        <w:t>a hypothetical capital structure of 45% debt and 55% equity.</w:t>
      </w:r>
    </w:p>
    <w:p w14:paraId="4E524B9D" w14:textId="77777777" w:rsidR="00DF66B7" w:rsidRPr="004079F2" w:rsidRDefault="00DF66B7" w:rsidP="00E932E7">
      <w:pPr>
        <w:tabs>
          <w:tab w:val="left" w:pos="0"/>
        </w:tabs>
        <w:spacing w:line="240" w:lineRule="auto"/>
        <w:ind w:left="720" w:hanging="720"/>
        <w:jc w:val="both"/>
      </w:pPr>
    </w:p>
    <w:p w14:paraId="54DD6C5F" w14:textId="545A5DE5" w:rsidR="00BE3AD3" w:rsidRPr="00F113E3" w:rsidRDefault="00BE3AD3" w:rsidP="00204A6E">
      <w:pPr>
        <w:tabs>
          <w:tab w:val="left" w:pos="0"/>
        </w:tabs>
        <w:spacing w:line="480" w:lineRule="exact"/>
        <w:ind w:left="720" w:hanging="720"/>
        <w:jc w:val="both"/>
        <w:rPr>
          <w:b/>
        </w:rPr>
      </w:pPr>
      <w:r w:rsidRPr="00F113E3">
        <w:rPr>
          <w:b/>
        </w:rPr>
        <w:t>Q.</w:t>
      </w:r>
      <w:r w:rsidRPr="00F113E3">
        <w:rPr>
          <w:b/>
        </w:rPr>
        <w:tab/>
        <w:t>W</w:t>
      </w:r>
      <w:r w:rsidR="00CF7244" w:rsidRPr="00F113E3">
        <w:rPr>
          <w:b/>
        </w:rPr>
        <w:t xml:space="preserve">hat is the basis for </w:t>
      </w:r>
      <w:r w:rsidR="006C10BD">
        <w:rPr>
          <w:b/>
        </w:rPr>
        <w:t>Monarch’s</w:t>
      </w:r>
      <w:r w:rsidR="00CF7244" w:rsidRPr="00F113E3">
        <w:rPr>
          <w:b/>
        </w:rPr>
        <w:t xml:space="preserve"> claimed capital structure</w:t>
      </w:r>
      <w:r w:rsidRPr="00F113E3">
        <w:rPr>
          <w:b/>
        </w:rPr>
        <w:t>?</w:t>
      </w:r>
    </w:p>
    <w:p w14:paraId="5D59A549" w14:textId="0ED71FA3" w:rsidR="00055601" w:rsidRDefault="00BE3AD3" w:rsidP="00204A6E">
      <w:pPr>
        <w:tabs>
          <w:tab w:val="left" w:pos="0"/>
        </w:tabs>
        <w:spacing w:line="480" w:lineRule="exact"/>
        <w:ind w:left="720" w:hanging="720"/>
        <w:jc w:val="both"/>
      </w:pPr>
      <w:r w:rsidRPr="00F113E3">
        <w:t>A.</w:t>
      </w:r>
      <w:r w:rsidRPr="00F113E3">
        <w:tab/>
      </w:r>
      <w:r w:rsidR="006C10BD">
        <w:t xml:space="preserve">Mr. Fairchild testifies that Monarch’s </w:t>
      </w:r>
      <w:r w:rsidR="00705430">
        <w:t>actual capital structure at the end of December 31, 2019 is 22.30% debt and 77.70%</w:t>
      </w:r>
      <w:r w:rsidR="00246F77">
        <w:t xml:space="preserve"> equity</w:t>
      </w:r>
      <w:r w:rsidR="00F113E3" w:rsidRPr="00F113E3">
        <w:t>.</w:t>
      </w:r>
      <w:r w:rsidR="00705430">
        <w:t xml:space="preserve">  Mr. Fairchild states that Monarch</w:t>
      </w:r>
      <w:r w:rsidR="00246F77">
        <w:t>’</w:t>
      </w:r>
      <w:r w:rsidR="00705430">
        <w:t xml:space="preserve">s actual debt percentage is well below, and the equity percentage well above, industry benchmarks.  He also states that this actual capital structure does not comport with industry standards.  Therefore, Mr. Fairchild uses the capital structure ratios of the firms in his </w:t>
      </w:r>
      <w:r w:rsidR="00246F77">
        <w:t xml:space="preserve">proxy </w:t>
      </w:r>
      <w:r w:rsidR="00705430">
        <w:t>group at year-end 2017 and 2018.</w:t>
      </w:r>
      <w:r w:rsidR="00F113E3" w:rsidRPr="00F113E3">
        <w:rPr>
          <w:rStyle w:val="FootnoteReference"/>
        </w:rPr>
        <w:footnoteReference w:id="12"/>
      </w:r>
    </w:p>
    <w:p w14:paraId="6DE5694F" w14:textId="77777777" w:rsidR="00DF66B7" w:rsidRPr="00F113E3" w:rsidRDefault="00DF66B7" w:rsidP="00E932E7">
      <w:pPr>
        <w:tabs>
          <w:tab w:val="left" w:pos="0"/>
        </w:tabs>
        <w:spacing w:line="240" w:lineRule="auto"/>
        <w:ind w:left="720" w:hanging="720"/>
        <w:jc w:val="both"/>
      </w:pPr>
    </w:p>
    <w:p w14:paraId="2AD33573" w14:textId="75E64B29" w:rsidR="00BE3AD3" w:rsidRPr="00F113E3" w:rsidRDefault="00F062B4" w:rsidP="00204A6E">
      <w:pPr>
        <w:tabs>
          <w:tab w:val="left" w:pos="0"/>
        </w:tabs>
        <w:spacing w:line="480" w:lineRule="exact"/>
        <w:ind w:left="720" w:hanging="720"/>
        <w:jc w:val="both"/>
        <w:rPr>
          <w:b/>
        </w:rPr>
      </w:pPr>
      <w:r w:rsidRPr="00F113E3">
        <w:rPr>
          <w:b/>
        </w:rPr>
        <w:t>Q.</w:t>
      </w:r>
      <w:r w:rsidRPr="00F113E3">
        <w:rPr>
          <w:b/>
        </w:rPr>
        <w:tab/>
        <w:t xml:space="preserve">What is your recommendation regarding </w:t>
      </w:r>
      <w:r w:rsidR="00705430">
        <w:rPr>
          <w:b/>
        </w:rPr>
        <w:t>Monarch’s</w:t>
      </w:r>
      <w:r w:rsidRPr="00F113E3">
        <w:rPr>
          <w:b/>
        </w:rPr>
        <w:t xml:space="preserve"> capital structure</w:t>
      </w:r>
      <w:r w:rsidR="00BE3AD3" w:rsidRPr="00F113E3">
        <w:rPr>
          <w:b/>
        </w:rPr>
        <w:t>?</w:t>
      </w:r>
    </w:p>
    <w:p w14:paraId="0DA21921" w14:textId="3C80AA50" w:rsidR="00204A6E" w:rsidRDefault="002D2879" w:rsidP="00E932E7">
      <w:pPr>
        <w:tabs>
          <w:tab w:val="left" w:pos="0"/>
        </w:tabs>
        <w:spacing w:line="480" w:lineRule="exact"/>
        <w:ind w:left="720" w:hanging="720"/>
        <w:jc w:val="both"/>
      </w:pPr>
      <w:r w:rsidRPr="00F113E3">
        <w:t>A.</w:t>
      </w:r>
      <w:r w:rsidRPr="00F113E3">
        <w:tab/>
        <w:t xml:space="preserve">I recommend </w:t>
      </w:r>
      <w:r w:rsidR="003C2B2E" w:rsidRPr="00F113E3">
        <w:t>using a hypothetical capital structure of 4</w:t>
      </w:r>
      <w:r w:rsidR="006273AB">
        <w:t>6</w:t>
      </w:r>
      <w:r w:rsidR="003C2B2E" w:rsidRPr="00F113E3">
        <w:t>% debt and 5</w:t>
      </w:r>
      <w:r w:rsidR="006273AB">
        <w:t>4</w:t>
      </w:r>
      <w:r w:rsidR="003C2B2E" w:rsidRPr="00F113E3">
        <w:t>% equity.</w:t>
      </w:r>
    </w:p>
    <w:p w14:paraId="2F12A3B1" w14:textId="77777777" w:rsidR="00E932E7" w:rsidRPr="00F113E3" w:rsidRDefault="00E932E7" w:rsidP="00E932E7">
      <w:pPr>
        <w:tabs>
          <w:tab w:val="left" w:pos="0"/>
        </w:tabs>
        <w:spacing w:line="240" w:lineRule="auto"/>
        <w:ind w:left="720" w:hanging="720"/>
        <w:jc w:val="both"/>
      </w:pPr>
    </w:p>
    <w:p w14:paraId="050EBE1C" w14:textId="6BD0B91C" w:rsidR="00BE3AD3" w:rsidRPr="00F113E3" w:rsidRDefault="00F062B4" w:rsidP="00204A6E">
      <w:pPr>
        <w:tabs>
          <w:tab w:val="left" w:pos="0"/>
        </w:tabs>
        <w:spacing w:line="480" w:lineRule="exact"/>
        <w:ind w:left="720" w:hanging="720"/>
        <w:jc w:val="both"/>
        <w:rPr>
          <w:b/>
        </w:rPr>
      </w:pPr>
      <w:r w:rsidRPr="00F113E3">
        <w:rPr>
          <w:b/>
        </w:rPr>
        <w:t>Q.</w:t>
      </w:r>
      <w:r w:rsidRPr="00F113E3">
        <w:rPr>
          <w:b/>
        </w:rPr>
        <w:tab/>
        <w:t xml:space="preserve">What is the basis </w:t>
      </w:r>
      <w:r w:rsidR="002D2879" w:rsidRPr="00F113E3">
        <w:rPr>
          <w:b/>
        </w:rPr>
        <w:t xml:space="preserve">for your recommendation to use </w:t>
      </w:r>
      <w:r w:rsidR="00E91FAF" w:rsidRPr="00F113E3">
        <w:rPr>
          <w:b/>
        </w:rPr>
        <w:t>a hypothetical</w:t>
      </w:r>
      <w:r w:rsidRPr="00F113E3">
        <w:rPr>
          <w:b/>
        </w:rPr>
        <w:t xml:space="preserve"> capital structure</w:t>
      </w:r>
      <w:r w:rsidR="00BE3AD3" w:rsidRPr="00F113E3">
        <w:rPr>
          <w:b/>
        </w:rPr>
        <w:t>?</w:t>
      </w:r>
    </w:p>
    <w:p w14:paraId="61CEF913" w14:textId="12030C2E" w:rsidR="00705430" w:rsidRDefault="00BE3AD3" w:rsidP="00204A6E">
      <w:pPr>
        <w:tabs>
          <w:tab w:val="left" w:pos="0"/>
        </w:tabs>
        <w:spacing w:line="480" w:lineRule="exact"/>
        <w:ind w:left="720" w:hanging="720"/>
        <w:jc w:val="both"/>
      </w:pPr>
      <w:r w:rsidRPr="00F113E3">
        <w:t>A.</w:t>
      </w:r>
      <w:r w:rsidRPr="00F113E3">
        <w:tab/>
      </w:r>
      <w:r w:rsidR="00705430">
        <w:t xml:space="preserve">A capital structure should be representative of the industry norm and </w:t>
      </w:r>
      <w:r w:rsidR="00246F77">
        <w:t xml:space="preserve">reflect </w:t>
      </w:r>
      <w:r w:rsidR="00705430">
        <w:t>an efficient use of capital</w:t>
      </w:r>
      <w:r w:rsidR="00360BB7" w:rsidRPr="009B1D4C">
        <w:t>.</w:t>
      </w:r>
      <w:r w:rsidR="00705430">
        <w:t xml:space="preserve">  The use of a capital structure that is outside the range of the industry’s capital </w:t>
      </w:r>
      <w:r w:rsidR="00705430">
        <w:lastRenderedPageBreak/>
        <w:t>structure may result in an overstated overall rate of return.</w:t>
      </w:r>
    </w:p>
    <w:p w14:paraId="219FE5CE" w14:textId="07C532C0" w:rsidR="002D2879" w:rsidRPr="009B1D4C" w:rsidRDefault="00705430" w:rsidP="00204A6E">
      <w:pPr>
        <w:tabs>
          <w:tab w:val="left" w:pos="0"/>
        </w:tabs>
        <w:spacing w:line="480" w:lineRule="exact"/>
        <w:ind w:left="720" w:hanging="720"/>
        <w:jc w:val="both"/>
      </w:pPr>
      <w:r>
        <w:tab/>
      </w:r>
      <w:r>
        <w:tab/>
      </w:r>
      <w:r>
        <w:tab/>
      </w:r>
      <w:r w:rsidR="00055601">
        <w:tab/>
      </w:r>
      <w:r>
        <w:t xml:space="preserve">The current five-year average capital structure of the barometer group </w:t>
      </w:r>
      <w:r w:rsidR="00275144">
        <w:t>is 45.9% debt and 54.1% equity.  I rounded to 46% debt and 54% equity, to use for ratemaking purposes.</w:t>
      </w:r>
      <w:r w:rsidR="00360BB7" w:rsidRPr="009B1D4C">
        <w:rPr>
          <w:rStyle w:val="FootnoteReference"/>
        </w:rPr>
        <w:footnoteReference w:id="13"/>
      </w:r>
    </w:p>
    <w:p w14:paraId="6D3B0CAF" w14:textId="77777777" w:rsidR="003C2B2E" w:rsidRPr="00BE295D" w:rsidRDefault="003C2B2E" w:rsidP="00204A6E">
      <w:pPr>
        <w:tabs>
          <w:tab w:val="left" w:pos="0"/>
        </w:tabs>
        <w:spacing w:line="480" w:lineRule="exact"/>
        <w:ind w:left="720" w:hanging="720"/>
        <w:jc w:val="both"/>
        <w:rPr>
          <w:color w:val="4BACC6" w:themeColor="accent5"/>
        </w:rPr>
      </w:pPr>
    </w:p>
    <w:p w14:paraId="69FFD92E" w14:textId="192D65CE" w:rsidR="003C2B2E" w:rsidRPr="009B1D4C" w:rsidRDefault="00131107" w:rsidP="00204A6E">
      <w:pPr>
        <w:pStyle w:val="Heading1"/>
        <w:spacing w:line="480" w:lineRule="exact"/>
      </w:pPr>
      <w:bookmarkStart w:id="11" w:name="_Toc343506794"/>
      <w:bookmarkStart w:id="12" w:name="_Toc435102588"/>
      <w:r>
        <w:t xml:space="preserve"> </w:t>
      </w:r>
      <w:bookmarkStart w:id="13" w:name="_Toc54606365"/>
      <w:r w:rsidR="003C2B2E" w:rsidRPr="009B1D4C">
        <w:t>COST RATE OF LONG-TERM DEBT</w:t>
      </w:r>
      <w:bookmarkEnd w:id="11"/>
      <w:bookmarkEnd w:id="12"/>
      <w:bookmarkEnd w:id="13"/>
    </w:p>
    <w:p w14:paraId="173BA34A" w14:textId="3F52566C" w:rsidR="003C2B2E" w:rsidRPr="009B1D4C" w:rsidRDefault="003C2B2E" w:rsidP="00204A6E">
      <w:pPr>
        <w:tabs>
          <w:tab w:val="left" w:pos="0"/>
        </w:tabs>
        <w:spacing w:line="480" w:lineRule="exact"/>
        <w:ind w:left="720" w:hanging="720"/>
        <w:jc w:val="both"/>
        <w:rPr>
          <w:b/>
        </w:rPr>
      </w:pPr>
      <w:r w:rsidRPr="009B1D4C">
        <w:rPr>
          <w:b/>
        </w:rPr>
        <w:t>Q.</w:t>
      </w:r>
      <w:r w:rsidRPr="009B1D4C">
        <w:rPr>
          <w:b/>
        </w:rPr>
        <w:tab/>
        <w:t xml:space="preserve">What is </w:t>
      </w:r>
      <w:r w:rsidR="00275144">
        <w:rPr>
          <w:b/>
        </w:rPr>
        <w:t>Monarch’s</w:t>
      </w:r>
      <w:r w:rsidRPr="009B1D4C">
        <w:rPr>
          <w:b/>
        </w:rPr>
        <w:t xml:space="preserve"> claimed cost rate of long-term debt?</w:t>
      </w:r>
    </w:p>
    <w:p w14:paraId="53952B19" w14:textId="37981C57" w:rsidR="00055601" w:rsidRDefault="003C2B2E" w:rsidP="00204A6E">
      <w:pPr>
        <w:tabs>
          <w:tab w:val="left" w:pos="0"/>
        </w:tabs>
        <w:spacing w:line="480" w:lineRule="exact"/>
        <w:ind w:left="720" w:hanging="720"/>
        <w:jc w:val="both"/>
      </w:pPr>
      <w:r w:rsidRPr="007B49C9">
        <w:t>A.</w:t>
      </w:r>
      <w:r w:rsidRPr="007B49C9">
        <w:tab/>
      </w:r>
      <w:r w:rsidR="00275144">
        <w:t>Monarch</w:t>
      </w:r>
      <w:r w:rsidR="002731E1">
        <w:t xml:space="preserve"> claimed an actual</w:t>
      </w:r>
      <w:r w:rsidR="00275144">
        <w:t xml:space="preserve"> weighted</w:t>
      </w:r>
      <w:r w:rsidR="002731E1">
        <w:t xml:space="preserve"> cost of debt of </w:t>
      </w:r>
      <w:r w:rsidR="00275144">
        <w:t>6.26</w:t>
      </w:r>
      <w:r w:rsidR="002731E1">
        <w:t>%</w:t>
      </w:r>
      <w:r w:rsidR="00275144">
        <w:t>, as adjusted for net proceeds.</w:t>
      </w:r>
    </w:p>
    <w:p w14:paraId="52C40079" w14:textId="77777777" w:rsidR="008E0D83" w:rsidRDefault="008E0D83" w:rsidP="00E932E7">
      <w:pPr>
        <w:tabs>
          <w:tab w:val="left" w:pos="0"/>
        </w:tabs>
        <w:spacing w:line="240" w:lineRule="auto"/>
        <w:ind w:left="720" w:hanging="720"/>
        <w:jc w:val="both"/>
        <w:rPr>
          <w:b/>
          <w:bCs/>
        </w:rPr>
      </w:pPr>
    </w:p>
    <w:p w14:paraId="46A91397" w14:textId="6CE61BC3" w:rsidR="00275144" w:rsidRDefault="00275144" w:rsidP="00204A6E">
      <w:pPr>
        <w:tabs>
          <w:tab w:val="left" w:pos="0"/>
        </w:tabs>
        <w:spacing w:line="480" w:lineRule="exact"/>
        <w:ind w:left="720" w:hanging="720"/>
        <w:jc w:val="both"/>
        <w:rPr>
          <w:b/>
          <w:bCs/>
        </w:rPr>
      </w:pPr>
      <w:r>
        <w:rPr>
          <w:b/>
          <w:bCs/>
        </w:rPr>
        <w:t>Q.</w:t>
      </w:r>
      <w:r>
        <w:rPr>
          <w:b/>
          <w:bCs/>
        </w:rPr>
        <w:tab/>
        <w:t>What are net proceeds?</w:t>
      </w:r>
    </w:p>
    <w:p w14:paraId="367F4E21" w14:textId="5B96B453" w:rsidR="00275144" w:rsidRDefault="00275144" w:rsidP="00204A6E">
      <w:pPr>
        <w:tabs>
          <w:tab w:val="left" w:pos="0"/>
        </w:tabs>
        <w:spacing w:line="480" w:lineRule="exact"/>
        <w:ind w:left="720" w:hanging="720"/>
        <w:jc w:val="both"/>
      </w:pPr>
      <w:r>
        <w:t>A.</w:t>
      </w:r>
      <w:r>
        <w:tab/>
        <w:t>Net proceeds can be defined as the amount of money received from a loan after subtracting transaction costs.</w:t>
      </w:r>
    </w:p>
    <w:p w14:paraId="31D52FFF" w14:textId="77777777" w:rsidR="008E0D83" w:rsidRDefault="008E0D83" w:rsidP="00E932E7">
      <w:pPr>
        <w:tabs>
          <w:tab w:val="left" w:pos="0"/>
        </w:tabs>
        <w:spacing w:line="240" w:lineRule="auto"/>
        <w:ind w:left="720" w:hanging="720"/>
        <w:jc w:val="both"/>
        <w:rPr>
          <w:b/>
          <w:bCs/>
        </w:rPr>
      </w:pPr>
    </w:p>
    <w:p w14:paraId="5DF75378" w14:textId="143E371E" w:rsidR="00275144" w:rsidRDefault="00275144" w:rsidP="00204A6E">
      <w:pPr>
        <w:tabs>
          <w:tab w:val="left" w:pos="0"/>
        </w:tabs>
        <w:spacing w:line="480" w:lineRule="exact"/>
        <w:ind w:left="720" w:hanging="720"/>
        <w:jc w:val="both"/>
        <w:rPr>
          <w:b/>
          <w:bCs/>
        </w:rPr>
      </w:pPr>
      <w:r>
        <w:rPr>
          <w:b/>
          <w:bCs/>
        </w:rPr>
        <w:t>Q.</w:t>
      </w:r>
      <w:r>
        <w:rPr>
          <w:b/>
          <w:bCs/>
        </w:rPr>
        <w:tab/>
        <w:t>What is your recommendation regarding Monarch’s cost rate of long-term debt?</w:t>
      </w:r>
    </w:p>
    <w:p w14:paraId="2448BFC7" w14:textId="6A0E1954" w:rsidR="00055601" w:rsidRDefault="00275144" w:rsidP="00204A6E">
      <w:pPr>
        <w:tabs>
          <w:tab w:val="left" w:pos="0"/>
        </w:tabs>
        <w:spacing w:line="480" w:lineRule="exact"/>
        <w:ind w:left="720" w:hanging="720"/>
        <w:jc w:val="both"/>
      </w:pPr>
      <w:r>
        <w:t>A.</w:t>
      </w:r>
      <w:r>
        <w:tab/>
        <w:t>I recommend using Monarch’s actual weighted cost of debt, unadjusted for net proceeds</w:t>
      </w:r>
      <w:r w:rsidR="00681D9A">
        <w:t>,</w:t>
      </w:r>
      <w:r>
        <w:t xml:space="preserve"> of 6.17%.</w:t>
      </w:r>
      <w:r w:rsidR="00681D9A">
        <w:t xml:space="preserve">  </w:t>
      </w:r>
    </w:p>
    <w:p w14:paraId="39EE8AAD" w14:textId="77777777" w:rsidR="00DF66B7" w:rsidRDefault="00DF66B7" w:rsidP="00E932E7">
      <w:pPr>
        <w:tabs>
          <w:tab w:val="left" w:pos="0"/>
        </w:tabs>
        <w:spacing w:line="240" w:lineRule="auto"/>
        <w:ind w:left="720" w:hanging="720"/>
        <w:jc w:val="both"/>
      </w:pPr>
    </w:p>
    <w:p w14:paraId="21125B20" w14:textId="3C5B18A7" w:rsidR="00681D9A" w:rsidRDefault="00681D9A" w:rsidP="00204A6E">
      <w:pPr>
        <w:tabs>
          <w:tab w:val="left" w:pos="0"/>
        </w:tabs>
        <w:spacing w:line="480" w:lineRule="exact"/>
        <w:ind w:left="720" w:hanging="720"/>
        <w:jc w:val="both"/>
        <w:rPr>
          <w:b/>
          <w:bCs/>
        </w:rPr>
      </w:pPr>
      <w:r>
        <w:rPr>
          <w:b/>
          <w:bCs/>
        </w:rPr>
        <w:t>Q.</w:t>
      </w:r>
      <w:r>
        <w:rPr>
          <w:b/>
          <w:bCs/>
        </w:rPr>
        <w:tab/>
        <w:t>What is the basis for your recommendation?</w:t>
      </w:r>
    </w:p>
    <w:p w14:paraId="2FB7BCB5" w14:textId="012CE33D" w:rsidR="00681D9A" w:rsidRDefault="00681D9A" w:rsidP="00204A6E">
      <w:pPr>
        <w:tabs>
          <w:tab w:val="left" w:pos="0"/>
        </w:tabs>
        <w:spacing w:line="480" w:lineRule="exact"/>
        <w:ind w:left="720" w:hanging="720"/>
        <w:jc w:val="both"/>
      </w:pPr>
      <w:r>
        <w:t>A.</w:t>
      </w:r>
      <w:r>
        <w:tab/>
        <w:t xml:space="preserve">Given that Monarch’s hypothetical capital structure includes more debt than its actual capital structure, </w:t>
      </w:r>
      <w:r w:rsidR="00246F77">
        <w:t xml:space="preserve">the higher amount of synchronized interest expense subsumes </w:t>
      </w:r>
      <w:r>
        <w:t>any difference</w:t>
      </w:r>
      <w:r w:rsidR="00246F77">
        <w:t>s</w:t>
      </w:r>
      <w:r>
        <w:t xml:space="preserve"> for net proceeds.</w:t>
      </w:r>
    </w:p>
    <w:p w14:paraId="407A30A6" w14:textId="6252C641" w:rsidR="00944E19" w:rsidRDefault="00681D9A" w:rsidP="00204A6E">
      <w:pPr>
        <w:tabs>
          <w:tab w:val="left" w:pos="0"/>
        </w:tabs>
        <w:spacing w:line="480" w:lineRule="exact"/>
        <w:ind w:left="720" w:hanging="720"/>
        <w:jc w:val="both"/>
      </w:pPr>
      <w:r>
        <w:tab/>
      </w:r>
      <w:r>
        <w:tab/>
      </w:r>
      <w:r>
        <w:tab/>
      </w:r>
      <w:r w:rsidR="00055601">
        <w:tab/>
      </w:r>
      <w:r>
        <w:t xml:space="preserve">For example, the </w:t>
      </w:r>
      <w:r w:rsidR="005E128A">
        <w:t>interest expense</w:t>
      </w:r>
      <w:r>
        <w:t xml:space="preserve"> as calculated by Mr. Fairchild</w:t>
      </w:r>
      <w:r w:rsidR="005E128A">
        <w:t xml:space="preserve"> using Monarch’s issuances</w:t>
      </w:r>
      <w:r>
        <w:t xml:space="preserve"> </w:t>
      </w:r>
      <w:r w:rsidR="005E128A">
        <w:t>is</w:t>
      </w:r>
      <w:r>
        <w:t xml:space="preserve"> $1,389,000.</w:t>
      </w:r>
      <w:r>
        <w:rPr>
          <w:rStyle w:val="FootnoteReference"/>
        </w:rPr>
        <w:footnoteReference w:id="14"/>
      </w:r>
      <w:r>
        <w:t xml:space="preserve"> </w:t>
      </w:r>
      <w:r w:rsidR="005E128A">
        <w:t>The</w:t>
      </w:r>
      <w:r w:rsidR="00AF1835">
        <w:t xml:space="preserve"> synchronized</w:t>
      </w:r>
      <w:r w:rsidR="005E128A">
        <w:t xml:space="preserve"> interest expense as calculated by my recommended return is $2,985,584.</w:t>
      </w:r>
      <w:r w:rsidR="005E128A">
        <w:rPr>
          <w:rStyle w:val="FootnoteReference"/>
        </w:rPr>
        <w:footnoteReference w:id="15"/>
      </w:r>
      <w:r w:rsidR="005E128A">
        <w:t xml:space="preserve">  Therefore, using my recommended return, unadjusted </w:t>
      </w:r>
      <w:r w:rsidR="005E128A">
        <w:lastRenderedPageBreak/>
        <w:t>for net proceeds, still allows Monarch to recover its interest expense.</w:t>
      </w:r>
    </w:p>
    <w:p w14:paraId="1C8C8FB8" w14:textId="77777777" w:rsidR="008E0D83" w:rsidRDefault="008E0D83" w:rsidP="00204A6E">
      <w:pPr>
        <w:tabs>
          <w:tab w:val="left" w:pos="0"/>
        </w:tabs>
        <w:spacing w:line="480" w:lineRule="exact"/>
        <w:ind w:left="720" w:hanging="720"/>
        <w:jc w:val="both"/>
      </w:pPr>
    </w:p>
    <w:p w14:paraId="42C3DCBD" w14:textId="77777777" w:rsidR="00BE3AD3" w:rsidRPr="00AF1835" w:rsidRDefault="00BE3AD3" w:rsidP="00204A6E">
      <w:pPr>
        <w:pStyle w:val="Heading1"/>
        <w:spacing w:line="480" w:lineRule="exact"/>
        <w:ind w:left="720" w:hanging="720"/>
      </w:pPr>
      <w:bookmarkStart w:id="14" w:name="_Toc435102589"/>
      <w:bookmarkStart w:id="15" w:name="_Toc54606366"/>
      <w:r w:rsidRPr="00AF1835">
        <w:t>EQUITY ANALYSIS</w:t>
      </w:r>
      <w:bookmarkEnd w:id="14"/>
      <w:bookmarkEnd w:id="15"/>
    </w:p>
    <w:p w14:paraId="6EF81606" w14:textId="77777777" w:rsidR="00BE3AD3" w:rsidRPr="00AF1835" w:rsidRDefault="00BE3AD3" w:rsidP="00204A6E">
      <w:pPr>
        <w:spacing w:line="480" w:lineRule="exact"/>
        <w:ind w:left="720" w:hanging="720"/>
        <w:jc w:val="both"/>
        <w:rPr>
          <w:b/>
        </w:rPr>
      </w:pPr>
      <w:r w:rsidRPr="00AF1835">
        <w:rPr>
          <w:b/>
        </w:rPr>
        <w:t>Q.</w:t>
      </w:r>
      <w:r w:rsidRPr="00AF1835">
        <w:rPr>
          <w:b/>
        </w:rPr>
        <w:tab/>
        <w:t>W</w:t>
      </w:r>
      <w:r w:rsidR="00843A0B" w:rsidRPr="00AF1835">
        <w:rPr>
          <w:b/>
        </w:rPr>
        <w:t>hat is your recommendation for the appropriate cost of common equity in this proceeding</w:t>
      </w:r>
      <w:r w:rsidRPr="00AF1835">
        <w:rPr>
          <w:b/>
        </w:rPr>
        <w:t>?</w:t>
      </w:r>
    </w:p>
    <w:p w14:paraId="4D71AE5C" w14:textId="647AC1B8" w:rsidR="00055601" w:rsidRDefault="00BE3AD3" w:rsidP="00204A6E">
      <w:pPr>
        <w:spacing w:line="480" w:lineRule="exact"/>
        <w:ind w:left="720" w:hanging="720"/>
        <w:jc w:val="both"/>
      </w:pPr>
      <w:r w:rsidRPr="00AF1835">
        <w:t>A.</w:t>
      </w:r>
      <w:r w:rsidRPr="00AF1835">
        <w:tab/>
        <w:t xml:space="preserve">Based upon my analysis, I recommend a cost of common equity of </w:t>
      </w:r>
      <w:r w:rsidR="00AF1835" w:rsidRPr="00AF1835">
        <w:t>8.50</w:t>
      </w:r>
      <w:r w:rsidRPr="00AF1835">
        <w:t xml:space="preserve">%. </w:t>
      </w:r>
    </w:p>
    <w:p w14:paraId="546689D5" w14:textId="77777777" w:rsidR="00B973E1" w:rsidRDefault="00B973E1" w:rsidP="00E932E7">
      <w:pPr>
        <w:spacing w:line="240" w:lineRule="auto"/>
        <w:ind w:left="720" w:hanging="720"/>
        <w:jc w:val="both"/>
      </w:pPr>
    </w:p>
    <w:p w14:paraId="3122A30F" w14:textId="77777777" w:rsidR="00BE3AD3" w:rsidRPr="00AF1835" w:rsidRDefault="00BE3AD3" w:rsidP="00204A6E">
      <w:pPr>
        <w:spacing w:line="480" w:lineRule="exact"/>
        <w:ind w:left="720" w:hanging="720"/>
        <w:jc w:val="both"/>
        <w:rPr>
          <w:b/>
        </w:rPr>
      </w:pPr>
      <w:r w:rsidRPr="00AF1835">
        <w:rPr>
          <w:b/>
        </w:rPr>
        <w:t>Q.</w:t>
      </w:r>
      <w:r w:rsidRPr="00AF1835">
        <w:rPr>
          <w:b/>
        </w:rPr>
        <w:tab/>
        <w:t>W</w:t>
      </w:r>
      <w:r w:rsidR="00843A0B" w:rsidRPr="00AF1835">
        <w:rPr>
          <w:b/>
        </w:rPr>
        <w:t>hat is the basis for your recommendation</w:t>
      </w:r>
      <w:r w:rsidRPr="00AF1835">
        <w:rPr>
          <w:b/>
        </w:rPr>
        <w:t>?</w:t>
      </w:r>
    </w:p>
    <w:p w14:paraId="18D63F48" w14:textId="3F9986EA" w:rsidR="00BE3AD3" w:rsidRPr="00AF1835" w:rsidRDefault="00BE3AD3" w:rsidP="00204A6E">
      <w:pPr>
        <w:spacing w:line="480" w:lineRule="exact"/>
        <w:ind w:left="720" w:hanging="720"/>
        <w:jc w:val="both"/>
        <w:rPr>
          <w:color w:val="4BACC6" w:themeColor="accent5"/>
        </w:rPr>
      </w:pPr>
      <w:r w:rsidRPr="00AF1835">
        <w:t>A.</w:t>
      </w:r>
      <w:r w:rsidRPr="00AF1835">
        <w:tab/>
        <w:t xml:space="preserve">I arrived at this return </w:t>
      </w:r>
      <w:r w:rsidR="00295C5C" w:rsidRPr="00AF1835">
        <w:t>on equity (ROE)</w:t>
      </w:r>
      <w:r w:rsidR="000B35A2" w:rsidRPr="00AF1835">
        <w:t xml:space="preserve"> primarily on</w:t>
      </w:r>
      <w:r w:rsidR="00D91D47">
        <w:t xml:space="preserve"> the basis of</w:t>
      </w:r>
      <w:r w:rsidR="000B35A2" w:rsidRPr="00AF1835">
        <w:t xml:space="preserve"> the results of my</w:t>
      </w:r>
      <w:r w:rsidR="00131107" w:rsidRPr="00AF1835">
        <w:t xml:space="preserve"> single-stage</w:t>
      </w:r>
      <w:r w:rsidRPr="00AF1835">
        <w:t xml:space="preserve"> Discounted Cash Flow (DCF) method.  I </w:t>
      </w:r>
      <w:r w:rsidR="0085368F" w:rsidRPr="00AF1835">
        <w:t xml:space="preserve">also </w:t>
      </w:r>
      <w:r w:rsidRPr="00AF1835">
        <w:t xml:space="preserve">used </w:t>
      </w:r>
      <w:r w:rsidR="00AF5A46" w:rsidRPr="00AF1835">
        <w:t>a</w:t>
      </w:r>
      <w:r w:rsidR="00131107" w:rsidRPr="00AF1835">
        <w:t xml:space="preserve"> multi-stage DCF and a</w:t>
      </w:r>
      <w:r w:rsidRPr="00AF1835">
        <w:t xml:space="preserve"> </w:t>
      </w:r>
      <w:r w:rsidR="007B49C9" w:rsidRPr="00AF1835">
        <w:t>Risk Premium method</w:t>
      </w:r>
      <w:r w:rsidRPr="00AF1835">
        <w:t xml:space="preserve"> as</w:t>
      </w:r>
      <w:r w:rsidR="00AF5A46" w:rsidRPr="00AF1835">
        <w:t xml:space="preserve"> </w:t>
      </w:r>
      <w:r w:rsidRPr="00AF1835">
        <w:t>comparison</w:t>
      </w:r>
      <w:r w:rsidR="00131107" w:rsidRPr="00AF1835">
        <w:t>s</w:t>
      </w:r>
      <w:r w:rsidRPr="00AF1835">
        <w:t xml:space="preserve"> to my DCF results.</w:t>
      </w:r>
      <w:r w:rsidR="000B35A2" w:rsidRPr="00AF1835">
        <w:t xml:space="preserve">  I further discuss each of these methods below.</w:t>
      </w:r>
      <w:r w:rsidRPr="00AF1835">
        <w:t xml:space="preserve">  </w:t>
      </w:r>
    </w:p>
    <w:p w14:paraId="6E4675E9" w14:textId="77777777" w:rsidR="00BE3AD3" w:rsidRPr="00275144" w:rsidRDefault="00BE3AD3" w:rsidP="00204A6E">
      <w:pPr>
        <w:spacing w:line="480" w:lineRule="exact"/>
        <w:ind w:left="720" w:hanging="720"/>
        <w:jc w:val="both"/>
        <w:rPr>
          <w:color w:val="4BACC6" w:themeColor="accent5"/>
          <w:highlight w:val="cyan"/>
        </w:rPr>
      </w:pPr>
    </w:p>
    <w:p w14:paraId="202653CC" w14:textId="77777777" w:rsidR="00BE3AD3" w:rsidRPr="00AF1835" w:rsidRDefault="00BE3AD3" w:rsidP="00204A6E">
      <w:pPr>
        <w:pStyle w:val="Heading2"/>
        <w:spacing w:line="480" w:lineRule="exact"/>
      </w:pPr>
      <w:bookmarkStart w:id="16" w:name="_Toc343506800"/>
      <w:bookmarkStart w:id="17" w:name="_Toc435102590"/>
      <w:bookmarkStart w:id="18" w:name="_Toc54606367"/>
      <w:r w:rsidRPr="00AF1835">
        <w:t>DISCOUNTED CASH FLOW (DCF)</w:t>
      </w:r>
      <w:bookmarkEnd w:id="16"/>
      <w:bookmarkEnd w:id="17"/>
      <w:bookmarkEnd w:id="18"/>
    </w:p>
    <w:p w14:paraId="79697F2A" w14:textId="77777777" w:rsidR="0085368F" w:rsidRPr="00AF1835" w:rsidRDefault="0085368F" w:rsidP="00204A6E">
      <w:pPr>
        <w:spacing w:line="480" w:lineRule="exact"/>
        <w:ind w:left="720" w:hanging="720"/>
        <w:rPr>
          <w:b/>
        </w:rPr>
      </w:pPr>
      <w:r w:rsidRPr="00AF1835">
        <w:rPr>
          <w:b/>
        </w:rPr>
        <w:t>Q.</w:t>
      </w:r>
      <w:r w:rsidRPr="00AF1835">
        <w:rPr>
          <w:b/>
        </w:rPr>
        <w:tab/>
        <w:t>W</w:t>
      </w:r>
      <w:r w:rsidR="00160B51" w:rsidRPr="00AF1835">
        <w:rPr>
          <w:b/>
        </w:rPr>
        <w:t>hat is the theoretical basis for the DCF method?</w:t>
      </w:r>
    </w:p>
    <w:p w14:paraId="11875BE3" w14:textId="45FC2D53" w:rsidR="00BC32C3" w:rsidRDefault="0085368F" w:rsidP="00204A6E">
      <w:pPr>
        <w:spacing w:line="480" w:lineRule="exact"/>
        <w:ind w:left="720" w:hanging="720"/>
        <w:jc w:val="both"/>
      </w:pPr>
      <w:r w:rsidRPr="00AF1835">
        <w:t>A.</w:t>
      </w:r>
      <w:r w:rsidRPr="00AF1835">
        <w:tab/>
        <w:t>The theoretical basis for the DCF model is the “dividend discount model” of financial theory, which maintains that the value (price) of any security or commodity is the discounted present value of all future cash flows.  The DCF model assumes that investors evaluate stocks in the classical economic framework, which maintains that the value of a financial asset is determined by its earning power, or its ability to generate future cash flows.</w:t>
      </w:r>
      <w:r w:rsidR="00080DEA" w:rsidRPr="00AF1835">
        <w:t xml:space="preserve">  The constant-growth DCF model recognizes that the return to the stockholder consists of two parts: dividend yield and growth.</w:t>
      </w:r>
      <w:r w:rsidR="00231264" w:rsidRPr="00AF1835">
        <w:t xml:space="preserve">  Therefore, equity investors expect to receive a portion of their total required return in the form of current dividends and the remainder through price appreciation.</w:t>
      </w:r>
    </w:p>
    <w:p w14:paraId="2594CE4C" w14:textId="77777777" w:rsidR="008E0D83" w:rsidRDefault="008E0D83" w:rsidP="00204A6E">
      <w:pPr>
        <w:spacing w:line="480" w:lineRule="exact"/>
        <w:ind w:left="720" w:hanging="720"/>
        <w:jc w:val="both"/>
        <w:rPr>
          <w:b/>
        </w:rPr>
      </w:pPr>
    </w:p>
    <w:p w14:paraId="44E621AE" w14:textId="5972D651" w:rsidR="00BE3AD3" w:rsidRPr="00AF1835" w:rsidRDefault="00BE3AD3" w:rsidP="00204A6E">
      <w:pPr>
        <w:spacing w:line="480" w:lineRule="exact"/>
        <w:ind w:left="720" w:hanging="720"/>
        <w:jc w:val="both"/>
        <w:rPr>
          <w:b/>
        </w:rPr>
      </w:pPr>
      <w:r w:rsidRPr="00AF1835">
        <w:rPr>
          <w:b/>
        </w:rPr>
        <w:lastRenderedPageBreak/>
        <w:t>Q.</w:t>
      </w:r>
      <w:r w:rsidRPr="00AF1835">
        <w:rPr>
          <w:b/>
        </w:rPr>
        <w:tab/>
        <w:t>P</w:t>
      </w:r>
      <w:r w:rsidR="00160B51" w:rsidRPr="00AF1835">
        <w:rPr>
          <w:b/>
        </w:rPr>
        <w:t xml:space="preserve">lease explain your </w:t>
      </w:r>
      <w:r w:rsidR="00564B0B" w:rsidRPr="00AF1835">
        <w:rPr>
          <w:b/>
        </w:rPr>
        <w:t xml:space="preserve">constant-growth </w:t>
      </w:r>
      <w:r w:rsidR="00160B51" w:rsidRPr="00AF1835">
        <w:rPr>
          <w:b/>
        </w:rPr>
        <w:t>DCF analysis</w:t>
      </w:r>
      <w:r w:rsidRPr="00AF1835">
        <w:rPr>
          <w:b/>
        </w:rPr>
        <w:t>.</w:t>
      </w:r>
    </w:p>
    <w:p w14:paraId="4BA6FC8F" w14:textId="7AE0F8D5" w:rsidR="00BE3AD3" w:rsidRDefault="00BE3AD3" w:rsidP="00204A6E">
      <w:pPr>
        <w:spacing w:line="480" w:lineRule="exact"/>
        <w:ind w:left="720" w:hanging="720"/>
        <w:jc w:val="both"/>
      </w:pPr>
      <w:r w:rsidRPr="00AF1835">
        <w:t>A.</w:t>
      </w:r>
      <w:r w:rsidRPr="00AF1835">
        <w:tab/>
        <w:t xml:space="preserve">My analysis employs the standard discrete DCF model as </w:t>
      </w:r>
      <w:r w:rsidR="000B35A2" w:rsidRPr="00AF1835">
        <w:t>expressed</w:t>
      </w:r>
      <w:r w:rsidRPr="00AF1835">
        <w:t xml:space="preserve"> in the following formula:</w:t>
      </w:r>
    </w:p>
    <w:p w14:paraId="6033C673" w14:textId="061364E4" w:rsidR="00BE3AD3" w:rsidRPr="00AF1835" w:rsidRDefault="00BE3AD3" w:rsidP="00204A6E">
      <w:pPr>
        <w:spacing w:line="480" w:lineRule="exact"/>
        <w:ind w:left="720" w:hanging="720"/>
        <w:jc w:val="both"/>
      </w:pPr>
      <w:r w:rsidRPr="00AF1835">
        <w:tab/>
      </w:r>
      <w:r w:rsidR="00131107" w:rsidRPr="00AF1835">
        <w:tab/>
      </w:r>
      <w:r w:rsidRPr="00AF1835">
        <w:tab/>
        <w:t>k = D</w:t>
      </w:r>
      <w:r w:rsidRPr="00AF1835">
        <w:rPr>
          <w:vertAlign w:val="subscript"/>
        </w:rPr>
        <w:t>1</w:t>
      </w:r>
      <w:r w:rsidRPr="00AF1835">
        <w:t>/P</w:t>
      </w:r>
      <w:r w:rsidRPr="00AF1835">
        <w:rPr>
          <w:vertAlign w:val="subscript"/>
        </w:rPr>
        <w:t>0</w:t>
      </w:r>
      <w:r w:rsidRPr="00AF1835">
        <w:t xml:space="preserve"> + g</w:t>
      </w:r>
    </w:p>
    <w:p w14:paraId="3D511513" w14:textId="6286414E" w:rsidR="00BE3AD3" w:rsidRPr="00944E19" w:rsidRDefault="00BE3AD3" w:rsidP="00204A6E">
      <w:pPr>
        <w:spacing w:line="480" w:lineRule="exact"/>
        <w:ind w:left="720" w:hanging="720"/>
        <w:jc w:val="both"/>
      </w:pPr>
      <w:r w:rsidRPr="00AF1835">
        <w:tab/>
      </w:r>
      <w:r w:rsidR="00131107" w:rsidRPr="00AF1835">
        <w:tab/>
      </w:r>
      <w:r w:rsidRPr="00AF1835">
        <w:tab/>
      </w:r>
      <w:r w:rsidRPr="00944E19">
        <w:t>Where:</w:t>
      </w:r>
    </w:p>
    <w:p w14:paraId="6AA257EF" w14:textId="57809E13" w:rsidR="00BE3AD3" w:rsidRPr="00944E19" w:rsidRDefault="00BE3AD3" w:rsidP="00204A6E">
      <w:pPr>
        <w:spacing w:line="480" w:lineRule="exact"/>
        <w:ind w:left="720" w:hanging="720"/>
        <w:jc w:val="both"/>
      </w:pPr>
      <w:r w:rsidRPr="00944E19">
        <w:tab/>
      </w:r>
      <w:r w:rsidRPr="00944E19">
        <w:tab/>
      </w:r>
      <w:r w:rsidR="00131107" w:rsidRPr="00944E19">
        <w:tab/>
      </w:r>
      <w:r w:rsidR="00DF66B7" w:rsidRPr="00944E19">
        <w:tab/>
      </w:r>
      <w:r w:rsidRPr="00944E19">
        <w:tab/>
        <w:t>k</w:t>
      </w:r>
      <w:r w:rsidRPr="00944E19">
        <w:tab/>
        <w:t>=</w:t>
      </w:r>
      <w:r w:rsidRPr="00944E19">
        <w:tab/>
        <w:t>Cost of equity</w:t>
      </w:r>
    </w:p>
    <w:p w14:paraId="71146A73" w14:textId="2054FFAF" w:rsidR="00BE3AD3" w:rsidRPr="00944E19" w:rsidRDefault="00BE3AD3" w:rsidP="00204A6E">
      <w:pPr>
        <w:spacing w:line="480" w:lineRule="exact"/>
        <w:ind w:left="720" w:hanging="720"/>
        <w:jc w:val="both"/>
      </w:pPr>
      <w:r w:rsidRPr="00944E19">
        <w:tab/>
      </w:r>
      <w:r w:rsidRPr="00944E19">
        <w:tab/>
      </w:r>
      <w:r w:rsidR="00131107" w:rsidRPr="00944E19">
        <w:tab/>
      </w:r>
      <w:r w:rsidRPr="00944E19">
        <w:tab/>
      </w:r>
      <w:r w:rsidR="00DF66B7" w:rsidRPr="00944E19">
        <w:tab/>
      </w:r>
      <w:r w:rsidRPr="00944E19">
        <w:t>D</w:t>
      </w:r>
      <w:r w:rsidRPr="00944E19">
        <w:rPr>
          <w:vertAlign w:val="subscript"/>
        </w:rPr>
        <w:t>1</w:t>
      </w:r>
      <w:r w:rsidRPr="00944E19">
        <w:tab/>
        <w:t>=</w:t>
      </w:r>
      <w:r w:rsidRPr="00944E19">
        <w:tab/>
        <w:t>Dividend expected during the year</w:t>
      </w:r>
    </w:p>
    <w:p w14:paraId="3744BCEE" w14:textId="40720A61" w:rsidR="00BE3AD3" w:rsidRPr="00944E19" w:rsidRDefault="00BE3AD3" w:rsidP="00204A6E">
      <w:pPr>
        <w:spacing w:line="480" w:lineRule="exact"/>
        <w:ind w:left="720" w:hanging="720"/>
        <w:jc w:val="both"/>
      </w:pPr>
      <w:r w:rsidRPr="00944E19">
        <w:tab/>
      </w:r>
      <w:r w:rsidR="00131107" w:rsidRPr="00944E19">
        <w:tab/>
      </w:r>
      <w:r w:rsidRPr="00944E19">
        <w:tab/>
      </w:r>
      <w:r w:rsidR="00DF66B7" w:rsidRPr="00944E19">
        <w:tab/>
      </w:r>
      <w:r w:rsidRPr="00944E19">
        <w:tab/>
        <w:t>P</w:t>
      </w:r>
      <w:r w:rsidRPr="00944E19">
        <w:rPr>
          <w:vertAlign w:val="subscript"/>
        </w:rPr>
        <w:t>0</w:t>
      </w:r>
      <w:r w:rsidRPr="00944E19">
        <w:tab/>
        <w:t>=</w:t>
      </w:r>
      <w:r w:rsidRPr="00944E19">
        <w:tab/>
        <w:t>Current price of the stock</w:t>
      </w:r>
    </w:p>
    <w:p w14:paraId="6310D9BD" w14:textId="7566A25F" w:rsidR="00BE3AD3" w:rsidRPr="00944E19" w:rsidRDefault="00BE3AD3" w:rsidP="00204A6E">
      <w:pPr>
        <w:spacing w:line="480" w:lineRule="exact"/>
        <w:ind w:left="720" w:hanging="720"/>
        <w:jc w:val="both"/>
      </w:pPr>
      <w:r w:rsidRPr="00944E19">
        <w:tab/>
      </w:r>
      <w:r w:rsidR="00131107" w:rsidRPr="00944E19">
        <w:tab/>
      </w:r>
      <w:r w:rsidRPr="00944E19">
        <w:tab/>
      </w:r>
      <w:r w:rsidR="00DF66B7" w:rsidRPr="00944E19">
        <w:tab/>
      </w:r>
      <w:r w:rsidRPr="00944E19">
        <w:tab/>
        <w:t>g</w:t>
      </w:r>
      <w:r w:rsidRPr="00944E19">
        <w:tab/>
        <w:t>=</w:t>
      </w:r>
      <w:r w:rsidRPr="00944E19">
        <w:tab/>
        <w:t>Expected growth rate of dividends</w:t>
      </w:r>
    </w:p>
    <w:p w14:paraId="0520F7DB" w14:textId="5CC1F96C" w:rsidR="00BC32C3" w:rsidRDefault="00BE3AD3" w:rsidP="00204A6E">
      <w:pPr>
        <w:widowControl/>
        <w:spacing w:line="480" w:lineRule="exact"/>
        <w:ind w:left="720" w:hanging="720"/>
        <w:jc w:val="both"/>
      </w:pPr>
      <w:r w:rsidRPr="00944E19">
        <w:tab/>
        <w:t>When a forecast of D</w:t>
      </w:r>
      <w:r w:rsidRPr="00944E19">
        <w:rPr>
          <w:vertAlign w:val="subscript"/>
        </w:rPr>
        <w:t>1</w:t>
      </w:r>
      <w:r w:rsidRPr="00944E19">
        <w:t xml:space="preserve"> is not available,</w:t>
      </w:r>
      <w:r w:rsidR="000B35A2" w:rsidRPr="00944E19">
        <w:t xml:space="preserve"> it is appropriate to make an adjustment to</w:t>
      </w:r>
      <w:r w:rsidRPr="00944E19">
        <w:t xml:space="preserve"> D</w:t>
      </w:r>
      <w:r w:rsidRPr="00944E19">
        <w:rPr>
          <w:vertAlign w:val="subscript"/>
        </w:rPr>
        <w:t>0</w:t>
      </w:r>
      <w:r w:rsidRPr="00944E19">
        <w:t xml:space="preserve"> (the current dividend)</w:t>
      </w:r>
      <w:r w:rsidR="000B35A2" w:rsidRPr="00944E19">
        <w:t xml:space="preserve"> to account for changes</w:t>
      </w:r>
      <w:r w:rsidR="000B35A2" w:rsidRPr="00AF1835">
        <w:t xml:space="preserve"> in the dividend paid in period 1.  In this case, I have used a forecast of D</w:t>
      </w:r>
      <w:r w:rsidR="000B35A2" w:rsidRPr="00AF1835">
        <w:rPr>
          <w:vertAlign w:val="subscript"/>
        </w:rPr>
        <w:t>1</w:t>
      </w:r>
      <w:r w:rsidR="000B35A2" w:rsidRPr="00AF1835">
        <w:t xml:space="preserve"> by adjusting D</w:t>
      </w:r>
      <w:r w:rsidR="000B35A2" w:rsidRPr="00AF1835">
        <w:rPr>
          <w:vertAlign w:val="subscript"/>
        </w:rPr>
        <w:t>0</w:t>
      </w:r>
      <w:r w:rsidR="000B35A2" w:rsidRPr="00AF1835">
        <w:t xml:space="preserve"> </w:t>
      </w:r>
      <w:r w:rsidR="00AF1835">
        <w:t>by the growth rate in the quarter the dividend has been historically increased</w:t>
      </w:r>
      <w:r w:rsidR="000B35A2" w:rsidRPr="00AF1835">
        <w:t>.</w:t>
      </w:r>
      <w:r w:rsidR="00AF1835">
        <w:rPr>
          <w:rStyle w:val="FootnoteReference"/>
        </w:rPr>
        <w:footnoteReference w:id="16"/>
      </w:r>
    </w:p>
    <w:p w14:paraId="188A9454" w14:textId="77777777" w:rsidR="00204A6E" w:rsidRDefault="00204A6E" w:rsidP="00E932E7">
      <w:pPr>
        <w:widowControl/>
        <w:spacing w:line="240" w:lineRule="auto"/>
        <w:ind w:left="720" w:hanging="720"/>
        <w:jc w:val="both"/>
      </w:pPr>
    </w:p>
    <w:p w14:paraId="1959D2CA" w14:textId="77777777" w:rsidR="00231264" w:rsidRPr="00AF1835" w:rsidRDefault="00231264" w:rsidP="00204A6E">
      <w:pPr>
        <w:pStyle w:val="question"/>
        <w:spacing w:line="480" w:lineRule="exact"/>
      </w:pPr>
      <w:r w:rsidRPr="00AF1835">
        <w:t>Q.</w:t>
      </w:r>
      <w:r w:rsidRPr="00AF1835">
        <w:tab/>
        <w:t>Are there variations of the constant-growth DCF model?</w:t>
      </w:r>
    </w:p>
    <w:p w14:paraId="25F848A1" w14:textId="77777777" w:rsidR="00231264" w:rsidRPr="00AF1835" w:rsidRDefault="00231264" w:rsidP="00204A6E">
      <w:pPr>
        <w:pStyle w:val="answer"/>
        <w:numPr>
          <w:ilvl w:val="0"/>
          <w:numId w:val="38"/>
        </w:numPr>
        <w:tabs>
          <w:tab w:val="clear" w:pos="360"/>
          <w:tab w:val="num" w:pos="-3420"/>
          <w:tab w:val="left" w:pos="720"/>
        </w:tabs>
        <w:spacing w:after="0" w:line="480" w:lineRule="exact"/>
        <w:ind w:left="720" w:right="0" w:hanging="720"/>
      </w:pPr>
      <w:r w:rsidRPr="00AF1835">
        <w:t xml:space="preserve">Yes.  For conditions in which significantly different growth rates are expected over different periods of time, analysts often employ a multistage version of the DCF model.  For example, the expected near-term growth of a given company may be significantly higher or lower than the expected sustainable growth rate.  In these situations, it is appropriate to apply a multistage DCF model that incorporates the various growth rates expected over time. </w:t>
      </w:r>
    </w:p>
    <w:p w14:paraId="410719A3" w14:textId="044409B8" w:rsidR="00231264" w:rsidRPr="00AF1835" w:rsidRDefault="00231264" w:rsidP="00204A6E">
      <w:pPr>
        <w:tabs>
          <w:tab w:val="left" w:pos="-3330"/>
          <w:tab w:val="num" w:pos="360"/>
        </w:tabs>
        <w:spacing w:line="480" w:lineRule="exact"/>
        <w:ind w:left="720"/>
        <w:jc w:val="both"/>
      </w:pPr>
      <w:r w:rsidRPr="00AF1835">
        <w:tab/>
      </w:r>
      <w:r w:rsidR="00564B0B" w:rsidRPr="00AF1835">
        <w:tab/>
      </w:r>
      <w:r w:rsidR="00BC32C3">
        <w:tab/>
      </w:r>
      <w:r w:rsidRPr="00AF1835">
        <w:t>Under the multistage DCF,</w:t>
      </w:r>
      <w:r w:rsidR="00EF0E00" w:rsidRPr="00AF1835">
        <w:t xml:space="preserve"> in order to incorporate two or more growth-rate period</w:t>
      </w:r>
      <w:r w:rsidR="00D91D47">
        <w:t>s</w:t>
      </w:r>
      <w:r w:rsidRPr="00AF1835">
        <w:t xml:space="preserve"> the equation for the constant growth DCF is simply expanded, with the assumption that a permanent constant growth rate can be estimated for some point in the future: </w:t>
      </w:r>
    </w:p>
    <w:p w14:paraId="486F5130" w14:textId="4AB17A79" w:rsidR="00231264" w:rsidRPr="00AF1835" w:rsidRDefault="00231264" w:rsidP="00204A6E">
      <w:pPr>
        <w:keepNext/>
        <w:keepLines/>
        <w:tabs>
          <w:tab w:val="left" w:pos="2520"/>
          <w:tab w:val="left" w:pos="4230"/>
          <w:tab w:val="left" w:pos="4320"/>
          <w:tab w:val="left" w:pos="6210"/>
        </w:tabs>
        <w:spacing w:line="480" w:lineRule="exact"/>
        <w:ind w:left="450" w:hanging="450"/>
      </w:pPr>
      <w:r w:rsidRPr="00AF1835">
        <w:lastRenderedPageBreak/>
        <w:tab/>
        <w:t xml:space="preserve">                   D</w:t>
      </w:r>
      <w:r w:rsidRPr="00AF1835">
        <w:rPr>
          <w:vertAlign w:val="subscript"/>
        </w:rPr>
        <w:t>0</w:t>
      </w:r>
      <w:r w:rsidRPr="00AF1835">
        <w:t>(1+g</w:t>
      </w:r>
      <w:r w:rsidRPr="00AF1835">
        <w:rPr>
          <w:vertAlign w:val="subscript"/>
        </w:rPr>
        <w:t>1</w:t>
      </w:r>
      <w:r w:rsidRPr="00AF1835">
        <w:t>)   D</w:t>
      </w:r>
      <w:r w:rsidRPr="00AF1835">
        <w:rPr>
          <w:vertAlign w:val="subscript"/>
        </w:rPr>
        <w:t>1</w:t>
      </w:r>
      <w:r w:rsidRPr="00AF1835">
        <w:t>(1+g</w:t>
      </w:r>
      <w:r w:rsidRPr="00AF1835">
        <w:rPr>
          <w:vertAlign w:val="subscript"/>
        </w:rPr>
        <w:t>2</w:t>
      </w:r>
      <w:r w:rsidRPr="00AF1835">
        <w:t>)</w:t>
      </w:r>
      <w:r w:rsidRPr="00AF1835">
        <w:rPr>
          <w:vertAlign w:val="subscript"/>
        </w:rPr>
        <w:t xml:space="preserve">            </w:t>
      </w:r>
      <w:r w:rsidRPr="00AF1835">
        <w:t>D</w:t>
      </w:r>
      <w:r w:rsidRPr="00AF1835">
        <w:rPr>
          <w:vertAlign w:val="subscript"/>
        </w:rPr>
        <w:t>(n-1)</w:t>
      </w:r>
      <w:r w:rsidRPr="00AF1835">
        <w:t>(1+g</w:t>
      </w:r>
      <w:r w:rsidRPr="00AF1835">
        <w:rPr>
          <w:vertAlign w:val="subscript"/>
        </w:rPr>
        <w:t>n</w:t>
      </w:r>
      <w:r w:rsidRPr="00AF1835">
        <w:t>)</w:t>
      </w:r>
    </w:p>
    <w:p w14:paraId="718A8982" w14:textId="1FCA315C" w:rsidR="00231264" w:rsidRPr="00AF1835" w:rsidRDefault="00231264" w:rsidP="00204A6E">
      <w:pPr>
        <w:keepNext/>
        <w:keepLines/>
        <w:suppressLineNumbers/>
        <w:spacing w:line="480" w:lineRule="exact"/>
        <w:ind w:left="450" w:hanging="450"/>
      </w:pPr>
      <w:r w:rsidRPr="00AF1835">
        <w:tab/>
      </w:r>
      <w:r w:rsidRPr="00AF1835">
        <w:tab/>
      </w:r>
      <w:r w:rsidR="00564B0B" w:rsidRPr="00AF1835">
        <w:tab/>
      </w:r>
      <w:r w:rsidR="00564B0B" w:rsidRPr="00AF1835">
        <w:tab/>
      </w:r>
      <w:r w:rsidR="00564B0B" w:rsidRPr="00AF1835">
        <w:tab/>
      </w:r>
      <w:r w:rsidRPr="00AF1835">
        <w:tab/>
        <w:t>P</w:t>
      </w:r>
      <w:r w:rsidRPr="00AF1835">
        <w:rPr>
          <w:vertAlign w:val="subscript"/>
        </w:rPr>
        <w:t>o</w:t>
      </w:r>
      <w:r w:rsidRPr="00AF1835">
        <w:t xml:space="preserve"> </w:t>
      </w:r>
      <w:r w:rsidR="00564B0B" w:rsidRPr="00AF1835">
        <w:t>= ------------</w:t>
      </w:r>
      <w:r w:rsidRPr="00AF1835">
        <w:t xml:space="preserve"> </w:t>
      </w:r>
      <w:r w:rsidR="00564B0B" w:rsidRPr="00AF1835">
        <w:t>+ ------------ +</w:t>
      </w:r>
      <w:r w:rsidRPr="00AF1835">
        <w:t xml:space="preserve"> . . . + -----------</w:t>
      </w:r>
    </w:p>
    <w:p w14:paraId="6ACA2FB8" w14:textId="3DB48CA0" w:rsidR="00231264" w:rsidRPr="00AF1835" w:rsidRDefault="00231264" w:rsidP="00204A6E">
      <w:pPr>
        <w:suppressLineNumbers/>
        <w:tabs>
          <w:tab w:val="left" w:pos="2610"/>
          <w:tab w:val="left" w:pos="4230"/>
          <w:tab w:val="left" w:pos="6210"/>
        </w:tabs>
        <w:spacing w:after="240" w:line="480" w:lineRule="exact"/>
        <w:ind w:left="446" w:hanging="446"/>
      </w:pPr>
      <w:r w:rsidRPr="00AF1835">
        <w:t xml:space="preserve">                         (1 + k)</w:t>
      </w:r>
      <w:r w:rsidR="00564B0B" w:rsidRPr="00AF1835">
        <w:rPr>
          <w:vertAlign w:val="superscript"/>
        </w:rPr>
        <w:t xml:space="preserve">1    </w:t>
      </w:r>
      <w:r w:rsidR="00564B0B" w:rsidRPr="00AF1835">
        <w:t xml:space="preserve"> (</w:t>
      </w:r>
      <w:r w:rsidRPr="00AF1835">
        <w:t>1 + k)</w:t>
      </w:r>
      <w:r w:rsidRPr="00AF1835">
        <w:rPr>
          <w:vertAlign w:val="superscript"/>
        </w:rPr>
        <w:t xml:space="preserve">2 </w:t>
      </w:r>
      <w:r w:rsidRPr="00AF1835">
        <w:t xml:space="preserve">          (1 + k)</w:t>
      </w:r>
      <w:r w:rsidRPr="00AF1835">
        <w:rPr>
          <w:vertAlign w:val="superscript"/>
        </w:rPr>
        <w:t>n</w:t>
      </w:r>
    </w:p>
    <w:p w14:paraId="4AA5CE92" w14:textId="19AFA55C" w:rsidR="00BC32C3" w:rsidRDefault="00231264" w:rsidP="00204A6E">
      <w:pPr>
        <w:tabs>
          <w:tab w:val="left" w:pos="-3330"/>
          <w:tab w:val="num" w:pos="360"/>
          <w:tab w:val="left" w:pos="720"/>
        </w:tabs>
        <w:spacing w:line="480" w:lineRule="exact"/>
        <w:ind w:left="720" w:hanging="720"/>
        <w:jc w:val="both"/>
      </w:pPr>
      <w:r w:rsidRPr="00AF1835">
        <w:tab/>
      </w:r>
      <w:r w:rsidRPr="00AF1835">
        <w:tab/>
        <w:t>where the variables are the same as in the equation in the previous question-and-answer, but there are more subscripts to indicate the different time periods to which the variables apply—e.g.,</w:t>
      </w:r>
      <w:r w:rsidRPr="00AF1835">
        <w:rPr>
          <w:i/>
        </w:rPr>
        <w:t xml:space="preserve"> </w:t>
      </w:r>
      <w:r w:rsidRPr="00AF1835">
        <w:t>g</w:t>
      </w:r>
      <w:r w:rsidRPr="00AF1835">
        <w:rPr>
          <w:vertAlign w:val="subscript"/>
        </w:rPr>
        <w:t>1</w:t>
      </w:r>
      <w:r w:rsidRPr="00AF1835">
        <w:t xml:space="preserve"> represents the growth rate for the first period, D</w:t>
      </w:r>
      <w:r w:rsidRPr="00AF1835">
        <w:rPr>
          <w:vertAlign w:val="subscript"/>
        </w:rPr>
        <w:t>2,</w:t>
      </w:r>
      <w:r w:rsidR="000B35A2" w:rsidRPr="00AF1835">
        <w:rPr>
          <w:vertAlign w:val="subscript"/>
        </w:rPr>
        <w:t xml:space="preserve"> </w:t>
      </w:r>
      <w:r w:rsidR="000B35A2" w:rsidRPr="00AF1835">
        <w:t xml:space="preserve">represents </w:t>
      </w:r>
      <w:r w:rsidRPr="00AF1835">
        <w:t>the dividend rate for the second period, g</w:t>
      </w:r>
      <w:r w:rsidRPr="00AF1835">
        <w:rPr>
          <w:vertAlign w:val="subscript"/>
        </w:rPr>
        <w:t xml:space="preserve">2 </w:t>
      </w:r>
      <w:r w:rsidR="000B35A2" w:rsidRPr="00AF1835">
        <w:t xml:space="preserve">represents </w:t>
      </w:r>
      <w:r w:rsidRPr="00AF1835">
        <w:t>the growth rate for the second period, and so on.  The “n” subscript represents the number of periods to be included (up to infinity).</w:t>
      </w:r>
    </w:p>
    <w:p w14:paraId="0267697B" w14:textId="77777777" w:rsidR="00DF66B7" w:rsidRPr="00AF1835" w:rsidRDefault="00DF66B7" w:rsidP="00E932E7">
      <w:pPr>
        <w:tabs>
          <w:tab w:val="left" w:pos="-3330"/>
          <w:tab w:val="num" w:pos="360"/>
          <w:tab w:val="left" w:pos="720"/>
        </w:tabs>
        <w:spacing w:line="240" w:lineRule="auto"/>
        <w:ind w:left="720" w:hanging="720"/>
        <w:jc w:val="both"/>
      </w:pPr>
    </w:p>
    <w:p w14:paraId="12A2020B" w14:textId="77777777" w:rsidR="00564B0B" w:rsidRPr="00AF1835" w:rsidRDefault="00564B0B" w:rsidP="00204A6E">
      <w:pPr>
        <w:pStyle w:val="question"/>
        <w:spacing w:line="480" w:lineRule="exact"/>
      </w:pPr>
      <w:r w:rsidRPr="00AF1835">
        <w:t>Q.</w:t>
      </w:r>
      <w:r w:rsidRPr="00AF1835">
        <w:tab/>
        <w:t>What versions of the DCF model did you use in your analysis?</w:t>
      </w:r>
    </w:p>
    <w:p w14:paraId="6C0B6E4F" w14:textId="3BF62E24" w:rsidR="00BC32C3" w:rsidRDefault="00DF66B7" w:rsidP="00204A6E">
      <w:pPr>
        <w:widowControl/>
        <w:tabs>
          <w:tab w:val="left" w:pos="-3330"/>
          <w:tab w:val="left" w:pos="720"/>
        </w:tabs>
        <w:autoSpaceDE/>
        <w:autoSpaceDN/>
        <w:adjustRightInd/>
        <w:spacing w:line="480" w:lineRule="exact"/>
        <w:ind w:left="720" w:hanging="720"/>
        <w:jc w:val="both"/>
      </w:pPr>
      <w:r>
        <w:t xml:space="preserve">A. </w:t>
      </w:r>
      <w:r>
        <w:tab/>
      </w:r>
      <w:r w:rsidR="00564B0B" w:rsidRPr="00AF1835">
        <w:t xml:space="preserve">I used both a single-stage version and a multistage version of the DCF model.  In the single-stage version, the stock’s dividend growth is based on analysts’ estimates of the utility’s earnings growth over the next five years.  In the multistage version of the DCF model, I used a three-stage growth approach.  The first stage spans the next five years and uses the same growth estimates employed in the single-stage version.  The second stage, which covers years six through ten, is based on an average of the growth rate used in years one through five and the projected long-term growth in Gross Domestic Product (“GDP”) of </w:t>
      </w:r>
      <w:r w:rsidR="002B1A7C">
        <w:t>5.18</w:t>
      </w:r>
      <w:r w:rsidR="00564B0B" w:rsidRPr="00AF1835">
        <w:t xml:space="preserve">%, discussed in more detail below.  The third, and final, stage covers years 11 through 150, and is based upon the GDP growth rate of </w:t>
      </w:r>
      <w:r w:rsidR="00A035EB">
        <w:t>5.18</w:t>
      </w:r>
      <w:r w:rsidR="00564B0B" w:rsidRPr="00AF1835">
        <w:t>%.</w:t>
      </w:r>
    </w:p>
    <w:p w14:paraId="579AE79A" w14:textId="77777777" w:rsidR="00E932E7" w:rsidRDefault="00E932E7" w:rsidP="00E932E7">
      <w:pPr>
        <w:pStyle w:val="question"/>
        <w:spacing w:line="240" w:lineRule="auto"/>
      </w:pPr>
    </w:p>
    <w:p w14:paraId="4DE21BFA" w14:textId="681DBAFA" w:rsidR="00564B0B" w:rsidRPr="002B1A7C" w:rsidRDefault="00564B0B" w:rsidP="00204A6E">
      <w:pPr>
        <w:pStyle w:val="question"/>
        <w:spacing w:line="480" w:lineRule="exact"/>
      </w:pPr>
      <w:r w:rsidRPr="002B1A7C">
        <w:t>Q.</w:t>
      </w:r>
      <w:r w:rsidRPr="002B1A7C">
        <w:tab/>
        <w:t>Why did you use two versions of the DCF model?</w:t>
      </w:r>
    </w:p>
    <w:p w14:paraId="2F6332A0" w14:textId="529339E8" w:rsidR="00BC32C3" w:rsidRDefault="00564B0B" w:rsidP="00204A6E">
      <w:pPr>
        <w:pStyle w:val="answer"/>
        <w:tabs>
          <w:tab w:val="clear" w:pos="-3420"/>
          <w:tab w:val="clear" w:pos="360"/>
          <w:tab w:val="left" w:pos="720"/>
        </w:tabs>
        <w:spacing w:after="0" w:line="480" w:lineRule="exact"/>
        <w:ind w:right="0"/>
      </w:pPr>
      <w:r w:rsidRPr="002B1A7C">
        <w:t>A.</w:t>
      </w:r>
      <w:r w:rsidRPr="002B1A7C">
        <w:tab/>
        <w:t xml:space="preserve">I used two versions of the DCF model because each model is reasonable in its own right and therefore likely to be used by investors. </w:t>
      </w:r>
      <w:r w:rsidR="007955E7" w:rsidRPr="002B1A7C">
        <w:t xml:space="preserve"> I included the multi-stage growth model because the utility cannot outgrow the economy long-term.</w:t>
      </w:r>
      <w:r w:rsidRPr="002B1A7C">
        <w:t xml:space="preserve"> My intent, by considering both </w:t>
      </w:r>
      <w:r w:rsidRPr="002B1A7C">
        <w:lastRenderedPageBreak/>
        <w:t xml:space="preserve">approaches and blending the two, was to more closely approximate the </w:t>
      </w:r>
      <w:r w:rsidR="007955E7" w:rsidRPr="002B1A7C">
        <w:t xml:space="preserve">long-term </w:t>
      </w:r>
      <w:r w:rsidRPr="002B1A7C">
        <w:t xml:space="preserve">expectations of investors on average. </w:t>
      </w:r>
    </w:p>
    <w:p w14:paraId="75215C1C" w14:textId="77777777" w:rsidR="00944E19" w:rsidRDefault="00944E19" w:rsidP="00E932E7">
      <w:pPr>
        <w:pStyle w:val="answer"/>
        <w:tabs>
          <w:tab w:val="clear" w:pos="-3420"/>
          <w:tab w:val="clear" w:pos="360"/>
          <w:tab w:val="left" w:pos="720"/>
        </w:tabs>
        <w:spacing w:after="0" w:line="240" w:lineRule="auto"/>
        <w:ind w:right="0"/>
      </w:pPr>
    </w:p>
    <w:p w14:paraId="4ED61A24" w14:textId="77777777" w:rsidR="007955E7" w:rsidRPr="002B1A7C" w:rsidRDefault="007955E7" w:rsidP="00204A6E">
      <w:pPr>
        <w:pStyle w:val="question"/>
        <w:spacing w:line="480" w:lineRule="exact"/>
      </w:pPr>
      <w:r w:rsidRPr="002B1A7C">
        <w:t>Q.</w:t>
      </w:r>
      <w:r w:rsidRPr="002B1A7C">
        <w:tab/>
        <w:t>What prices did you use for your DCF analyses?</w:t>
      </w:r>
    </w:p>
    <w:p w14:paraId="5256B013" w14:textId="38620BB5" w:rsidR="00DF66B7" w:rsidRPr="00E932E7" w:rsidRDefault="007955E7" w:rsidP="00E932E7">
      <w:pPr>
        <w:pStyle w:val="answer"/>
        <w:numPr>
          <w:ilvl w:val="0"/>
          <w:numId w:val="38"/>
        </w:numPr>
        <w:tabs>
          <w:tab w:val="clear" w:pos="360"/>
          <w:tab w:val="left" w:pos="720"/>
        </w:tabs>
        <w:spacing w:after="0" w:line="480" w:lineRule="exact"/>
        <w:ind w:left="720" w:right="0" w:hanging="720"/>
        <w:rPr>
          <w:b/>
        </w:rPr>
      </w:pPr>
      <w:r w:rsidRPr="002B1A7C">
        <w:t xml:space="preserve">As shown on Attachment ES-5, I used stock prices that are an average of weekly prices over a recent 12-week period, specifically </w:t>
      </w:r>
      <w:r w:rsidR="002B1A7C">
        <w:t>July</w:t>
      </w:r>
      <w:r w:rsidRPr="002B1A7C">
        <w:t xml:space="preserve"> </w:t>
      </w:r>
      <w:r w:rsidR="002B1A7C">
        <w:t>20</w:t>
      </w:r>
      <w:r w:rsidRPr="002B1A7C">
        <w:t>, 20</w:t>
      </w:r>
      <w:r w:rsidR="002B1A7C">
        <w:t>20</w:t>
      </w:r>
      <w:r w:rsidRPr="002B1A7C">
        <w:t xml:space="preserve"> through</w:t>
      </w:r>
      <w:r w:rsidR="002B1A7C">
        <w:t xml:space="preserve"> October 5, 2020</w:t>
      </w:r>
      <w:r w:rsidRPr="002B1A7C">
        <w:t xml:space="preserve">.  </w:t>
      </w:r>
      <w:r w:rsidR="00D91D47">
        <w:t>I consider t</w:t>
      </w:r>
      <w:r w:rsidRPr="002B1A7C">
        <w:t>he 12-week period long enough to smooth out stock market fluctuations and accurately reflect long-term expectations, but short enough to reflect the most current information on the market’s perceptions of risk, earnings growth, and dividend growth.</w:t>
      </w:r>
    </w:p>
    <w:p w14:paraId="2467FEF7" w14:textId="77777777" w:rsidR="00E932E7" w:rsidRPr="00E932E7" w:rsidRDefault="00E932E7" w:rsidP="00E932E7">
      <w:pPr>
        <w:pStyle w:val="answer"/>
        <w:tabs>
          <w:tab w:val="clear" w:pos="-3420"/>
          <w:tab w:val="clear" w:pos="360"/>
          <w:tab w:val="left" w:pos="720"/>
        </w:tabs>
        <w:spacing w:after="0" w:line="240" w:lineRule="auto"/>
        <w:ind w:left="0" w:right="0" w:firstLine="0"/>
        <w:rPr>
          <w:b/>
        </w:rPr>
      </w:pPr>
    </w:p>
    <w:p w14:paraId="5BC09A6A" w14:textId="77777777" w:rsidR="007955E7" w:rsidRPr="002B1A7C" w:rsidRDefault="007955E7" w:rsidP="00204A6E">
      <w:pPr>
        <w:pStyle w:val="question"/>
        <w:spacing w:line="480" w:lineRule="exact"/>
      </w:pPr>
      <w:r w:rsidRPr="002B1A7C">
        <w:t>Q.</w:t>
      </w:r>
      <w:r w:rsidRPr="002B1A7C">
        <w:tab/>
        <w:t>What estimates for the growth expectations of investors did you use in your DCF analyses?</w:t>
      </w:r>
    </w:p>
    <w:p w14:paraId="33939A5F" w14:textId="32F69784" w:rsidR="00BC32C3" w:rsidRDefault="007955E7" w:rsidP="00204A6E">
      <w:pPr>
        <w:pStyle w:val="answer"/>
        <w:numPr>
          <w:ilvl w:val="0"/>
          <w:numId w:val="38"/>
        </w:numPr>
        <w:tabs>
          <w:tab w:val="clear" w:pos="360"/>
        </w:tabs>
        <w:spacing w:after="0" w:line="480" w:lineRule="exact"/>
        <w:ind w:left="720" w:right="0" w:hanging="720"/>
      </w:pPr>
      <w:r w:rsidRPr="002B1A7C">
        <w:t xml:space="preserve">I used data from Value Line, Zacks, and </w:t>
      </w:r>
      <w:proofErr w:type="spellStart"/>
      <w:r w:rsidRPr="002B1A7C">
        <w:t>Yahoo!Finance</w:t>
      </w:r>
      <w:proofErr w:type="spellEnd"/>
      <w:r w:rsidRPr="002B1A7C">
        <w:t xml:space="preserve"> for the earnings growth rates in the single-stage DCF model and the first stage and second stage of the multistage DCF model. </w:t>
      </w:r>
      <w:r w:rsidRPr="002B1A7C">
        <w:tab/>
      </w:r>
      <w:r w:rsidR="002B1A7C">
        <w:tab/>
      </w:r>
      <w:r w:rsidR="00BC32C3">
        <w:tab/>
      </w:r>
      <w:r w:rsidRPr="002B1A7C">
        <w:t xml:space="preserve">For the second stage, in part, and the third stage of the multistage DCF model, I used an expected long-run nominal growth rate of </w:t>
      </w:r>
      <w:r w:rsidR="00A035EB">
        <w:t>5.18</w:t>
      </w:r>
      <w:r w:rsidRPr="002B1A7C">
        <w:t>%, consisting of the 3.1</w:t>
      </w:r>
      <w:r w:rsidR="00A035EB">
        <w:t>8</w:t>
      </w:r>
      <w:r w:rsidRPr="002B1A7C">
        <w:t>% per year average real growth-rate of GDP for the period 1951 through 201</w:t>
      </w:r>
      <w:r w:rsidR="00395F86" w:rsidRPr="002B1A7C">
        <w:t>9</w:t>
      </w:r>
      <w:r w:rsidRPr="002B1A7C">
        <w:t xml:space="preserve"> as calculated from data reported by the U.S. Bureau of Economic Analysis,</w:t>
      </w:r>
      <w:r w:rsidRPr="002B1A7C">
        <w:rPr>
          <w:rStyle w:val="FootnoteReference"/>
        </w:rPr>
        <w:footnoteReference w:id="17"/>
      </w:r>
      <w:r w:rsidRPr="002B1A7C">
        <w:t xml:space="preserve"> and the 2.00% rate of inflation forecast by the Board of Governors of the Federal Reserve System in its most recent estimate.</w:t>
      </w:r>
      <w:r w:rsidRPr="002B1A7C">
        <w:rPr>
          <w:rStyle w:val="FootnoteReference"/>
        </w:rPr>
        <w:footnoteReference w:id="18"/>
      </w:r>
      <w:r w:rsidRPr="002B1A7C">
        <w:t xml:space="preserve">  This is widely disseminated </w:t>
      </w:r>
      <w:r w:rsidR="008D7ED7" w:rsidRPr="002B1A7C">
        <w:t>information</w:t>
      </w:r>
      <w:r w:rsidRPr="002B1A7C">
        <w:t xml:space="preserve"> that is generally considered credible by investors. </w:t>
      </w:r>
    </w:p>
    <w:p w14:paraId="391F70BB" w14:textId="368982F4" w:rsidR="00944E19" w:rsidRDefault="00944E19" w:rsidP="00E932E7">
      <w:pPr>
        <w:pStyle w:val="answer"/>
        <w:suppressLineNumbers/>
        <w:tabs>
          <w:tab w:val="clear" w:pos="-3420"/>
          <w:tab w:val="clear" w:pos="360"/>
        </w:tabs>
        <w:spacing w:after="0" w:line="240" w:lineRule="auto"/>
        <w:ind w:right="0" w:firstLine="0"/>
      </w:pPr>
    </w:p>
    <w:p w14:paraId="5471A048" w14:textId="4BECFF9B" w:rsidR="00E932E7" w:rsidRDefault="00E932E7" w:rsidP="00E932E7">
      <w:pPr>
        <w:pStyle w:val="answer"/>
        <w:suppressLineNumbers/>
        <w:tabs>
          <w:tab w:val="clear" w:pos="-3420"/>
          <w:tab w:val="clear" w:pos="360"/>
        </w:tabs>
        <w:spacing w:after="0" w:line="240" w:lineRule="auto"/>
        <w:ind w:right="0" w:firstLine="0"/>
      </w:pPr>
    </w:p>
    <w:p w14:paraId="5E16CCCD" w14:textId="483827A0" w:rsidR="00E932E7" w:rsidRDefault="00E932E7" w:rsidP="00E932E7">
      <w:pPr>
        <w:pStyle w:val="answer"/>
        <w:suppressLineNumbers/>
        <w:tabs>
          <w:tab w:val="clear" w:pos="-3420"/>
          <w:tab w:val="clear" w:pos="360"/>
        </w:tabs>
        <w:spacing w:after="0" w:line="240" w:lineRule="auto"/>
        <w:ind w:right="0" w:firstLine="0"/>
      </w:pPr>
    </w:p>
    <w:p w14:paraId="2D54F633" w14:textId="77777777" w:rsidR="00E932E7" w:rsidRDefault="00E932E7" w:rsidP="00E932E7">
      <w:pPr>
        <w:pStyle w:val="answer"/>
        <w:suppressLineNumbers/>
        <w:tabs>
          <w:tab w:val="clear" w:pos="-3420"/>
          <w:tab w:val="clear" w:pos="360"/>
        </w:tabs>
        <w:spacing w:after="0" w:line="240" w:lineRule="auto"/>
        <w:ind w:right="0" w:firstLine="0"/>
      </w:pPr>
    </w:p>
    <w:p w14:paraId="24D3DC40" w14:textId="77777777" w:rsidR="009A7419" w:rsidRPr="002B1A7C" w:rsidRDefault="009A7419" w:rsidP="00204A6E">
      <w:pPr>
        <w:pStyle w:val="question"/>
        <w:keepNext w:val="0"/>
        <w:keepLines w:val="0"/>
        <w:spacing w:line="480" w:lineRule="exact"/>
      </w:pPr>
      <w:r w:rsidRPr="002B1A7C">
        <w:lastRenderedPageBreak/>
        <w:t>Q.</w:t>
      </w:r>
      <w:r w:rsidRPr="002B1A7C">
        <w:tab/>
        <w:t>What are the results of your DCF analyses?</w:t>
      </w:r>
    </w:p>
    <w:p w14:paraId="6787F7A5" w14:textId="4F5B710D" w:rsidR="008E0D83" w:rsidRDefault="00DF66B7" w:rsidP="00204A6E">
      <w:pPr>
        <w:pStyle w:val="answer"/>
        <w:tabs>
          <w:tab w:val="clear" w:pos="-3420"/>
          <w:tab w:val="clear" w:pos="360"/>
          <w:tab w:val="left" w:pos="720"/>
        </w:tabs>
        <w:spacing w:after="0" w:line="480" w:lineRule="exact"/>
        <w:ind w:right="0"/>
      </w:pPr>
      <w:r>
        <w:t xml:space="preserve">A. </w:t>
      </w:r>
      <w:r>
        <w:tab/>
      </w:r>
      <w:r w:rsidR="008D7ED7" w:rsidRPr="00A035EB">
        <w:t>Attachments ES-7 and ES-8 to my testimony include the r</w:t>
      </w:r>
      <w:r w:rsidR="009A7419" w:rsidRPr="00A035EB">
        <w:t>esults and supporting calculation detail from the single-stage and multi-stage DCF</w:t>
      </w:r>
      <w:r w:rsidR="008D7ED7" w:rsidRPr="00A035EB">
        <w:t>, respectively</w:t>
      </w:r>
      <w:r w:rsidR="009A7419" w:rsidRPr="00A035EB">
        <w:t xml:space="preserve">.  The average of the barometer group’s estimated cost of equity using the single-stage DCF yields a cost of equity of </w:t>
      </w:r>
      <w:r w:rsidR="00A035EB">
        <w:t>8.47</w:t>
      </w:r>
      <w:r w:rsidR="009A7419" w:rsidRPr="00A035EB">
        <w:t xml:space="preserve">%.  An average of the barometer group’s results when employing the multi-stage DCF yields a cost-of-equity estimate of </w:t>
      </w:r>
      <w:r w:rsidR="00A035EB">
        <w:t>6.</w:t>
      </w:r>
      <w:r w:rsidR="001E3ADD">
        <w:t>97</w:t>
      </w:r>
      <w:r w:rsidR="009A7419" w:rsidRPr="00A035EB">
        <w:t xml:space="preserve">%.  </w:t>
      </w:r>
    </w:p>
    <w:p w14:paraId="020CD705" w14:textId="77777777" w:rsidR="00204A6E" w:rsidRDefault="00204A6E" w:rsidP="00E932E7">
      <w:pPr>
        <w:pStyle w:val="answer"/>
        <w:tabs>
          <w:tab w:val="clear" w:pos="-3420"/>
          <w:tab w:val="clear" w:pos="360"/>
          <w:tab w:val="left" w:pos="720"/>
        </w:tabs>
        <w:spacing w:after="0" w:line="240" w:lineRule="auto"/>
        <w:ind w:right="0"/>
      </w:pPr>
    </w:p>
    <w:p w14:paraId="43646098" w14:textId="21665443" w:rsidR="00A035EB" w:rsidRDefault="00A035EB" w:rsidP="00204A6E">
      <w:pPr>
        <w:pStyle w:val="answer"/>
        <w:tabs>
          <w:tab w:val="clear" w:pos="-3420"/>
          <w:tab w:val="clear" w:pos="360"/>
          <w:tab w:val="left" w:pos="720"/>
        </w:tabs>
        <w:spacing w:after="0" w:line="480" w:lineRule="exact"/>
        <w:ind w:left="0" w:right="0" w:firstLine="0"/>
        <w:rPr>
          <w:b/>
          <w:bCs/>
        </w:rPr>
      </w:pPr>
      <w:r>
        <w:rPr>
          <w:b/>
          <w:bCs/>
        </w:rPr>
        <w:t>Q.</w:t>
      </w:r>
      <w:r>
        <w:rPr>
          <w:b/>
          <w:bCs/>
        </w:rPr>
        <w:tab/>
        <w:t>Why did you exclude the results from SJW Group from your analysis?</w:t>
      </w:r>
    </w:p>
    <w:p w14:paraId="485CC769" w14:textId="63669996" w:rsidR="00944E19" w:rsidRDefault="00A035EB" w:rsidP="00204A6E">
      <w:pPr>
        <w:pStyle w:val="answer"/>
        <w:tabs>
          <w:tab w:val="clear" w:pos="-3420"/>
          <w:tab w:val="clear" w:pos="360"/>
          <w:tab w:val="left" w:pos="720"/>
        </w:tabs>
        <w:spacing w:after="0" w:line="480" w:lineRule="exact"/>
        <w:ind w:right="0"/>
      </w:pPr>
      <w:r>
        <w:t>A.</w:t>
      </w:r>
      <w:r>
        <w:tab/>
        <w:t>As shown in Attachment ES-</w:t>
      </w:r>
      <w:r w:rsidR="001E3ADD">
        <w:t>7, SJW’s DCF result was outside of two standard deviations from the mean.  This means it was too far outside the other results to be considered reasonable.  Therefore, I excluded it from my results.</w:t>
      </w:r>
    </w:p>
    <w:p w14:paraId="721F0367" w14:textId="77777777" w:rsidR="008E0D83" w:rsidRDefault="008E0D83" w:rsidP="00204A6E">
      <w:pPr>
        <w:pStyle w:val="answer"/>
        <w:tabs>
          <w:tab w:val="clear" w:pos="-3420"/>
          <w:tab w:val="clear" w:pos="360"/>
          <w:tab w:val="left" w:pos="720"/>
        </w:tabs>
        <w:spacing w:after="0" w:line="480" w:lineRule="exact"/>
        <w:ind w:right="0"/>
      </w:pPr>
    </w:p>
    <w:p w14:paraId="58F6E027" w14:textId="17E9D7AB" w:rsidR="009A7419" w:rsidRPr="001E3ADD" w:rsidRDefault="009A7419" w:rsidP="00204A6E">
      <w:pPr>
        <w:pStyle w:val="Heading2"/>
        <w:spacing w:line="480" w:lineRule="exact"/>
      </w:pPr>
      <w:bookmarkStart w:id="19" w:name="_Toc54606368"/>
      <w:r w:rsidRPr="001E3ADD">
        <w:t>CONVENTIONAL RISK-PREMIUM ESTIMATE</w:t>
      </w:r>
      <w:bookmarkEnd w:id="19"/>
    </w:p>
    <w:p w14:paraId="58F41C62" w14:textId="1DB6164C" w:rsidR="007B7FDB" w:rsidRPr="001E3ADD" w:rsidRDefault="009A7419" w:rsidP="00204A6E">
      <w:pPr>
        <w:pStyle w:val="question"/>
        <w:keepNext w:val="0"/>
        <w:keepLines w:val="0"/>
        <w:spacing w:line="480" w:lineRule="exact"/>
        <w:rPr>
          <w:szCs w:val="26"/>
        </w:rPr>
      </w:pPr>
      <w:r w:rsidRPr="001E3ADD">
        <w:t>Q.</w:t>
      </w:r>
      <w:r w:rsidRPr="001E3ADD">
        <w:tab/>
      </w:r>
      <w:r w:rsidR="007B7FDB" w:rsidRPr="001E3ADD">
        <w:rPr>
          <w:szCs w:val="26"/>
        </w:rPr>
        <w:t>What is the theoretical basis for the Risk-Premium</w:t>
      </w:r>
      <w:r w:rsidR="008D7ED7" w:rsidRPr="001E3ADD">
        <w:rPr>
          <w:szCs w:val="26"/>
        </w:rPr>
        <w:t xml:space="preserve"> Method</w:t>
      </w:r>
      <w:r w:rsidR="007B7FDB" w:rsidRPr="001E3ADD">
        <w:rPr>
          <w:szCs w:val="26"/>
        </w:rPr>
        <w:t>?</w:t>
      </w:r>
    </w:p>
    <w:p w14:paraId="719DAD16" w14:textId="697D5D48" w:rsidR="00204A6E" w:rsidRDefault="0082681B" w:rsidP="00E932E7">
      <w:pPr>
        <w:pStyle w:val="question"/>
        <w:keepNext w:val="0"/>
        <w:keepLines w:val="0"/>
        <w:spacing w:line="480" w:lineRule="exact"/>
        <w:rPr>
          <w:b w:val="0"/>
          <w:szCs w:val="26"/>
        </w:rPr>
      </w:pPr>
      <w:r w:rsidRPr="001E3ADD">
        <w:rPr>
          <w:b w:val="0"/>
          <w:szCs w:val="26"/>
        </w:rPr>
        <w:t>A.</w:t>
      </w:r>
      <w:r w:rsidRPr="001E3ADD">
        <w:rPr>
          <w:b w:val="0"/>
          <w:szCs w:val="26"/>
        </w:rPr>
        <w:tab/>
        <w:t xml:space="preserve">The Risk-Premium </w:t>
      </w:r>
      <w:r w:rsidR="008D7ED7" w:rsidRPr="001E3ADD">
        <w:rPr>
          <w:b w:val="0"/>
          <w:szCs w:val="26"/>
        </w:rPr>
        <w:t xml:space="preserve">method </w:t>
      </w:r>
      <w:r w:rsidR="003B2F6B" w:rsidRPr="001E3ADD">
        <w:rPr>
          <w:b w:val="0"/>
          <w:szCs w:val="26"/>
        </w:rPr>
        <w:t xml:space="preserve">is based on the </w:t>
      </w:r>
      <w:r w:rsidR="00F47FE8">
        <w:rPr>
          <w:b w:val="0"/>
          <w:szCs w:val="26"/>
        </w:rPr>
        <w:t>concept</w:t>
      </w:r>
      <w:r w:rsidR="00F47FE8" w:rsidRPr="001E3ADD">
        <w:rPr>
          <w:b w:val="0"/>
          <w:szCs w:val="26"/>
        </w:rPr>
        <w:t xml:space="preserve"> </w:t>
      </w:r>
      <w:r w:rsidR="003B2F6B" w:rsidRPr="001E3ADD">
        <w:rPr>
          <w:b w:val="0"/>
          <w:szCs w:val="26"/>
        </w:rPr>
        <w:t>that common stocks are riskier than debt and, as a result, investors require a higher expected return on stocks than bonds.</w:t>
      </w:r>
    </w:p>
    <w:p w14:paraId="09709443" w14:textId="77777777" w:rsidR="00E932E7" w:rsidRPr="001E3ADD" w:rsidRDefault="00E932E7" w:rsidP="00E932E7">
      <w:pPr>
        <w:pStyle w:val="question"/>
        <w:keepNext w:val="0"/>
        <w:keepLines w:val="0"/>
        <w:spacing w:line="240" w:lineRule="auto"/>
        <w:rPr>
          <w:b w:val="0"/>
        </w:rPr>
      </w:pPr>
    </w:p>
    <w:p w14:paraId="12020C3E" w14:textId="49ADE5D3" w:rsidR="009A7419" w:rsidRPr="001E3ADD" w:rsidRDefault="007B7FDB" w:rsidP="00204A6E">
      <w:pPr>
        <w:pStyle w:val="question"/>
        <w:keepNext w:val="0"/>
        <w:keepLines w:val="0"/>
        <w:spacing w:line="480" w:lineRule="exact"/>
      </w:pPr>
      <w:r w:rsidRPr="001E3ADD">
        <w:t>Q.</w:t>
      </w:r>
      <w:r w:rsidRPr="001E3ADD">
        <w:tab/>
      </w:r>
      <w:r w:rsidR="009A7419" w:rsidRPr="001E3ADD">
        <w:t>Please describe the “conventional” risk-premium approach that you used in your estimate of cost of equity in this case.</w:t>
      </w:r>
    </w:p>
    <w:p w14:paraId="6C2C3B43" w14:textId="5E5C6E31" w:rsidR="00903B35" w:rsidRDefault="00903B35" w:rsidP="00204A6E">
      <w:pPr>
        <w:pStyle w:val="question"/>
        <w:keepNext w:val="0"/>
        <w:keepLines w:val="0"/>
        <w:spacing w:line="480" w:lineRule="exact"/>
        <w:rPr>
          <w:b w:val="0"/>
          <w:bCs/>
        </w:rPr>
      </w:pPr>
      <w:r w:rsidRPr="00903B35">
        <w:rPr>
          <w:b w:val="0"/>
          <w:bCs/>
        </w:rPr>
        <w:t>A.</w:t>
      </w:r>
      <w:r w:rsidRPr="00903B35">
        <w:rPr>
          <w:b w:val="0"/>
          <w:bCs/>
        </w:rPr>
        <w:tab/>
      </w:r>
      <w:r w:rsidR="009A7419" w:rsidRPr="00903B35">
        <w:rPr>
          <w:b w:val="0"/>
          <w:bCs/>
        </w:rPr>
        <w:t xml:space="preserve">I refer to the risk-premium approach I use as the “conventional” risk premium to distinguish it from the concept of risk premiums in general.  The conventional risk premium is a risk premium that estimates the cost of equity for </w:t>
      </w:r>
      <w:r w:rsidR="001E3ADD" w:rsidRPr="00903B35">
        <w:rPr>
          <w:b w:val="0"/>
          <w:bCs/>
        </w:rPr>
        <w:t>Monar</w:t>
      </w:r>
      <w:r w:rsidR="00E17E5C" w:rsidRPr="00903B35">
        <w:rPr>
          <w:b w:val="0"/>
          <w:bCs/>
        </w:rPr>
        <w:t>c</w:t>
      </w:r>
      <w:r w:rsidR="001E3ADD" w:rsidRPr="00903B35">
        <w:rPr>
          <w:b w:val="0"/>
          <w:bCs/>
        </w:rPr>
        <w:t>h</w:t>
      </w:r>
      <w:r w:rsidR="009A7419" w:rsidRPr="00903B35">
        <w:rPr>
          <w:b w:val="0"/>
          <w:bCs/>
        </w:rPr>
        <w:t xml:space="preserve"> by comparing the costs of equity authorized for </w:t>
      </w:r>
      <w:r w:rsidR="008D7ED7" w:rsidRPr="00903B35">
        <w:rPr>
          <w:b w:val="0"/>
          <w:bCs/>
        </w:rPr>
        <w:t xml:space="preserve">water </w:t>
      </w:r>
      <w:r w:rsidR="009A7419" w:rsidRPr="00903B35">
        <w:rPr>
          <w:b w:val="0"/>
          <w:bCs/>
        </w:rPr>
        <w:t xml:space="preserve">utilities across the United States to the yields of </w:t>
      </w:r>
      <w:r w:rsidR="007B7FDB" w:rsidRPr="00903B35">
        <w:rPr>
          <w:b w:val="0"/>
          <w:bCs/>
        </w:rPr>
        <w:t>public utility</w:t>
      </w:r>
      <w:r w:rsidR="009A7419" w:rsidRPr="00903B35">
        <w:rPr>
          <w:b w:val="0"/>
          <w:bCs/>
        </w:rPr>
        <w:t xml:space="preserve"> bonds rated Baa by Moody’s.  The timeframe I have used for this purpose is </w:t>
      </w:r>
      <w:r w:rsidR="007B7FDB" w:rsidRPr="00903B35">
        <w:rPr>
          <w:b w:val="0"/>
          <w:bCs/>
        </w:rPr>
        <w:t>2007</w:t>
      </w:r>
      <w:r w:rsidR="009A7419" w:rsidRPr="00903B35">
        <w:rPr>
          <w:b w:val="0"/>
          <w:bCs/>
        </w:rPr>
        <w:t xml:space="preserve"> through 201</w:t>
      </w:r>
      <w:r w:rsidR="007B7FDB" w:rsidRPr="00903B35">
        <w:rPr>
          <w:b w:val="0"/>
          <w:bCs/>
        </w:rPr>
        <w:t>9</w:t>
      </w:r>
      <w:r w:rsidR="009A7419" w:rsidRPr="00903B35">
        <w:rPr>
          <w:b w:val="0"/>
          <w:bCs/>
        </w:rPr>
        <w:t>.</w:t>
      </w:r>
    </w:p>
    <w:p w14:paraId="1AFC2E76" w14:textId="77777777" w:rsidR="00DF66B7" w:rsidRPr="00903B35" w:rsidRDefault="00DF66B7" w:rsidP="00204A6E">
      <w:pPr>
        <w:pStyle w:val="question"/>
        <w:keepNext w:val="0"/>
        <w:keepLines w:val="0"/>
        <w:spacing w:line="480" w:lineRule="exact"/>
        <w:rPr>
          <w:b w:val="0"/>
          <w:bCs/>
        </w:rPr>
      </w:pPr>
    </w:p>
    <w:p w14:paraId="4F1050DD" w14:textId="4CF84998" w:rsidR="009A7419" w:rsidRPr="001E3ADD" w:rsidRDefault="009A7419" w:rsidP="00204A6E">
      <w:pPr>
        <w:pStyle w:val="question"/>
        <w:keepNext w:val="0"/>
        <w:keepLines w:val="0"/>
        <w:spacing w:line="480" w:lineRule="exact"/>
      </w:pPr>
      <w:r w:rsidRPr="001E3ADD">
        <w:lastRenderedPageBreak/>
        <w:t>Q.</w:t>
      </w:r>
      <w:r w:rsidRPr="001E3ADD">
        <w:tab/>
        <w:t xml:space="preserve">How did you use the relationship between the authorized costs of equity and the bond yields to quantify the cost of equity for </w:t>
      </w:r>
      <w:r w:rsidR="001E3ADD" w:rsidRPr="001E3ADD">
        <w:t>Monarch</w:t>
      </w:r>
      <w:r w:rsidRPr="001E3ADD">
        <w:t>?</w:t>
      </w:r>
    </w:p>
    <w:p w14:paraId="1873A62C" w14:textId="0945792D" w:rsidR="005C63BC" w:rsidRDefault="009A7419" w:rsidP="00204A6E">
      <w:pPr>
        <w:pStyle w:val="answer"/>
        <w:numPr>
          <w:ilvl w:val="0"/>
          <w:numId w:val="38"/>
        </w:numPr>
        <w:tabs>
          <w:tab w:val="clear" w:pos="360"/>
          <w:tab w:val="left" w:pos="720"/>
        </w:tabs>
        <w:spacing w:after="0" w:line="480" w:lineRule="exact"/>
        <w:ind w:left="720" w:right="0" w:hanging="720"/>
      </w:pPr>
      <w:r w:rsidRPr="001E3ADD">
        <w:t>I quantified the relationship by subtracting the bond yields from the authorized costs of equity to determine a risk premium for the riskier equity.</w:t>
      </w:r>
    </w:p>
    <w:p w14:paraId="49467AE7" w14:textId="77777777" w:rsidR="00E932E7" w:rsidRDefault="00E932E7" w:rsidP="00E932E7">
      <w:pPr>
        <w:pStyle w:val="answer"/>
        <w:tabs>
          <w:tab w:val="clear" w:pos="-3420"/>
          <w:tab w:val="clear" w:pos="360"/>
          <w:tab w:val="left" w:pos="720"/>
        </w:tabs>
        <w:spacing w:after="0" w:line="240" w:lineRule="auto"/>
        <w:ind w:right="0" w:firstLine="0"/>
      </w:pPr>
    </w:p>
    <w:p w14:paraId="1C2308EC" w14:textId="6FCA282C" w:rsidR="009A7419" w:rsidRPr="001E3ADD" w:rsidRDefault="009A7419" w:rsidP="00204A6E">
      <w:pPr>
        <w:pStyle w:val="question"/>
        <w:keepNext w:val="0"/>
        <w:keepLines w:val="0"/>
        <w:spacing w:line="480" w:lineRule="exact"/>
      </w:pPr>
      <w:r w:rsidRPr="001E3ADD">
        <w:t>Q.</w:t>
      </w:r>
      <w:r w:rsidRPr="001E3ADD">
        <w:tab/>
        <w:t>Did you test the data for correlation?</w:t>
      </w:r>
    </w:p>
    <w:p w14:paraId="1D9972B6" w14:textId="484F0F99" w:rsidR="005C63BC" w:rsidRDefault="009A7419" w:rsidP="00204A6E">
      <w:pPr>
        <w:pStyle w:val="answer"/>
        <w:numPr>
          <w:ilvl w:val="0"/>
          <w:numId w:val="38"/>
        </w:numPr>
        <w:tabs>
          <w:tab w:val="clear" w:pos="360"/>
          <w:tab w:val="left" w:pos="720"/>
        </w:tabs>
        <w:spacing w:after="0" w:line="480" w:lineRule="exact"/>
        <w:ind w:left="720" w:right="0" w:hanging="720"/>
      </w:pPr>
      <w:r w:rsidRPr="001E3ADD">
        <w:t xml:space="preserve">Yes.  I performed a regression analysis to analyze the relationship between the risk premium and the bond yields in the corresponding period.  The regression analysis showed, with high confidence, that there is a trend in the relationship.  It is an inverse trend, in which the risk premiums increase as bond yields decrease.  On average, during the </w:t>
      </w:r>
      <w:r w:rsidR="003B2F6B" w:rsidRPr="001E3ADD">
        <w:t>2007</w:t>
      </w:r>
      <w:r w:rsidRPr="001E3ADD">
        <w:t xml:space="preserve"> through 201</w:t>
      </w:r>
      <w:r w:rsidR="003B2F6B" w:rsidRPr="001E3ADD">
        <w:t>9</w:t>
      </w:r>
      <w:r w:rsidRPr="001E3ADD">
        <w:t xml:space="preserve"> time period, risk premiums increased 0.</w:t>
      </w:r>
      <w:r w:rsidR="003B2F6B" w:rsidRPr="001E3ADD">
        <w:t>75</w:t>
      </w:r>
      <w:r w:rsidR="00457839" w:rsidRPr="001E3ADD">
        <w:t>44</w:t>
      </w:r>
      <w:r w:rsidRPr="001E3ADD">
        <w:t xml:space="preserve">% for every 1.00% that bond yields decreased. </w:t>
      </w:r>
    </w:p>
    <w:p w14:paraId="1C163B79" w14:textId="77777777" w:rsidR="00F95BCD" w:rsidRDefault="00F95BCD" w:rsidP="00E932E7">
      <w:pPr>
        <w:pStyle w:val="answer"/>
        <w:tabs>
          <w:tab w:val="clear" w:pos="-3420"/>
          <w:tab w:val="clear" w:pos="360"/>
          <w:tab w:val="left" w:pos="720"/>
        </w:tabs>
        <w:spacing w:after="0" w:line="240" w:lineRule="auto"/>
        <w:ind w:right="0" w:firstLine="0"/>
      </w:pPr>
    </w:p>
    <w:p w14:paraId="2D4AA940" w14:textId="77777777" w:rsidR="009A7419" w:rsidRPr="001E3ADD" w:rsidRDefault="009A7419" w:rsidP="00204A6E">
      <w:pPr>
        <w:pStyle w:val="question"/>
        <w:keepNext w:val="0"/>
        <w:keepLines w:val="0"/>
        <w:spacing w:line="480" w:lineRule="exact"/>
      </w:pPr>
      <w:r w:rsidRPr="001E3ADD">
        <w:t>Q.</w:t>
      </w:r>
      <w:r w:rsidRPr="001E3ADD">
        <w:tab/>
        <w:t>What are the results of your risk-premium analysis?</w:t>
      </w:r>
    </w:p>
    <w:p w14:paraId="0B16B0BD" w14:textId="7F854FF1" w:rsidR="00204A6E" w:rsidRDefault="009A7419" w:rsidP="00E932E7">
      <w:pPr>
        <w:pStyle w:val="answer"/>
        <w:numPr>
          <w:ilvl w:val="0"/>
          <w:numId w:val="38"/>
        </w:numPr>
        <w:tabs>
          <w:tab w:val="clear" w:pos="360"/>
          <w:tab w:val="num" w:pos="-3420"/>
          <w:tab w:val="left" w:pos="720"/>
        </w:tabs>
        <w:spacing w:after="0" w:line="480" w:lineRule="exact"/>
        <w:ind w:left="720" w:right="0" w:hanging="720"/>
      </w:pPr>
      <w:r w:rsidRPr="001E3ADD">
        <w:t xml:space="preserve">As shown on Attachment </w:t>
      </w:r>
      <w:r w:rsidR="003B2F6B" w:rsidRPr="001E3ADD">
        <w:t>ES</w:t>
      </w:r>
      <w:r w:rsidRPr="001E3ADD">
        <w:t>-</w:t>
      </w:r>
      <w:r w:rsidR="003B2F6B" w:rsidRPr="001E3ADD">
        <w:t>9</w:t>
      </w:r>
      <w:r w:rsidRPr="001E3ADD">
        <w:t>, Page 2, the conventional risk-premium analysis implied a cost of equity of 9.</w:t>
      </w:r>
      <w:r w:rsidR="001E3ADD">
        <w:t>38</w:t>
      </w:r>
      <w:r w:rsidRPr="001E3ADD">
        <w:t>%.</w:t>
      </w:r>
    </w:p>
    <w:p w14:paraId="3858DF24" w14:textId="77777777" w:rsidR="00E932E7" w:rsidRDefault="00E932E7" w:rsidP="00E932E7">
      <w:pPr>
        <w:pStyle w:val="answer"/>
        <w:tabs>
          <w:tab w:val="clear" w:pos="-3420"/>
          <w:tab w:val="clear" w:pos="360"/>
          <w:tab w:val="left" w:pos="720"/>
        </w:tabs>
        <w:spacing w:after="0" w:line="240" w:lineRule="auto"/>
        <w:ind w:right="0" w:firstLine="0"/>
      </w:pPr>
    </w:p>
    <w:p w14:paraId="4FE4F425" w14:textId="617ED857" w:rsidR="0093286D" w:rsidRDefault="0093286D" w:rsidP="00E932E7">
      <w:pPr>
        <w:pStyle w:val="answer"/>
        <w:tabs>
          <w:tab w:val="clear" w:pos="-3420"/>
          <w:tab w:val="clear" w:pos="360"/>
          <w:tab w:val="left" w:pos="720"/>
        </w:tabs>
        <w:spacing w:after="0" w:line="480" w:lineRule="exact"/>
        <w:ind w:left="0" w:right="0" w:firstLine="0"/>
        <w:rPr>
          <w:b/>
        </w:rPr>
      </w:pPr>
      <w:r>
        <w:rPr>
          <w:b/>
        </w:rPr>
        <w:t>Q.</w:t>
      </w:r>
      <w:r>
        <w:rPr>
          <w:b/>
        </w:rPr>
        <w:tab/>
        <w:t>Do you directly rely on your risk premium results?</w:t>
      </w:r>
    </w:p>
    <w:p w14:paraId="264EAF04" w14:textId="482BA5DB" w:rsidR="00605D7C" w:rsidRDefault="0093286D" w:rsidP="00204A6E">
      <w:pPr>
        <w:pStyle w:val="answer"/>
        <w:tabs>
          <w:tab w:val="clear" w:pos="-3420"/>
          <w:tab w:val="clear" w:pos="360"/>
          <w:tab w:val="left" w:pos="720"/>
        </w:tabs>
        <w:spacing w:after="0" w:line="480" w:lineRule="exact"/>
        <w:ind w:right="0"/>
        <w:rPr>
          <w:bCs/>
        </w:rPr>
      </w:pPr>
      <w:r>
        <w:rPr>
          <w:bCs/>
        </w:rPr>
        <w:t>A.</w:t>
      </w:r>
      <w:r>
        <w:rPr>
          <w:bCs/>
        </w:rPr>
        <w:tab/>
      </w:r>
      <w:r w:rsidR="00FD1BDB">
        <w:rPr>
          <w:bCs/>
        </w:rPr>
        <w:t>No, m</w:t>
      </w:r>
      <w:r>
        <w:rPr>
          <w:bCs/>
        </w:rPr>
        <w:t xml:space="preserve">y risk premium result is not directly included in my results.  This is due to several factors.  </w:t>
      </w:r>
      <w:r w:rsidR="00FD1BDB">
        <w:rPr>
          <w:bCs/>
        </w:rPr>
        <w:t>Primarily</w:t>
      </w:r>
      <w:r>
        <w:rPr>
          <w:bCs/>
        </w:rPr>
        <w:t xml:space="preserve">, the allowed ROEs in the regulated community do not fall as quickly as interest rates do.  </w:t>
      </w:r>
      <w:r w:rsidR="00A76569">
        <w:rPr>
          <w:bCs/>
        </w:rPr>
        <w:t>The allowed ROEs</w:t>
      </w:r>
      <w:r>
        <w:rPr>
          <w:bCs/>
        </w:rPr>
        <w:t xml:space="preserve"> lag and do not reflect current market conditions.  </w:t>
      </w:r>
      <w:r w:rsidR="00FD1BDB">
        <w:rPr>
          <w:bCs/>
        </w:rPr>
        <w:t>I do use it as a comparison for my results.</w:t>
      </w:r>
      <w:r w:rsidR="00605D7C">
        <w:rPr>
          <w:bCs/>
        </w:rPr>
        <w:br w:type="page"/>
      </w:r>
    </w:p>
    <w:p w14:paraId="41F9DBA1" w14:textId="367C2C8A" w:rsidR="00405D21" w:rsidRDefault="00405D21" w:rsidP="00204A6E">
      <w:pPr>
        <w:pStyle w:val="Heading1"/>
        <w:keepNext w:val="0"/>
        <w:spacing w:line="480" w:lineRule="exact"/>
        <w:ind w:left="720" w:hanging="720"/>
        <w:jc w:val="both"/>
        <w:rPr>
          <w:szCs w:val="24"/>
        </w:rPr>
      </w:pPr>
      <w:bookmarkStart w:id="20" w:name="_Toc54606369"/>
      <w:bookmarkStart w:id="21" w:name="_Toc435102594"/>
      <w:r>
        <w:rPr>
          <w:szCs w:val="24"/>
        </w:rPr>
        <w:lastRenderedPageBreak/>
        <w:t>SIZE</w:t>
      </w:r>
      <w:bookmarkEnd w:id="20"/>
    </w:p>
    <w:p w14:paraId="3D715B18" w14:textId="051EBA7B" w:rsidR="00E074FD" w:rsidRPr="00D13911" w:rsidRDefault="00E074FD" w:rsidP="00204A6E">
      <w:pPr>
        <w:tabs>
          <w:tab w:val="left" w:pos="0"/>
        </w:tabs>
        <w:spacing w:line="480" w:lineRule="exact"/>
        <w:ind w:left="720" w:hanging="720"/>
        <w:jc w:val="both"/>
        <w:rPr>
          <w:b/>
          <w:szCs w:val="26"/>
        </w:rPr>
      </w:pPr>
      <w:r w:rsidRPr="00D13911">
        <w:rPr>
          <w:b/>
          <w:szCs w:val="26"/>
        </w:rPr>
        <w:t>Q.</w:t>
      </w:r>
      <w:r w:rsidRPr="00D13911">
        <w:rPr>
          <w:b/>
          <w:szCs w:val="26"/>
        </w:rPr>
        <w:tab/>
        <w:t xml:space="preserve">What is Mr. </w:t>
      </w:r>
      <w:r>
        <w:rPr>
          <w:b/>
          <w:szCs w:val="26"/>
        </w:rPr>
        <w:t>Fairchild’s</w:t>
      </w:r>
      <w:r w:rsidRPr="00D13911">
        <w:rPr>
          <w:b/>
          <w:szCs w:val="26"/>
        </w:rPr>
        <w:t xml:space="preserve"> size adjustment?</w:t>
      </w:r>
    </w:p>
    <w:p w14:paraId="5E84BBB4" w14:textId="2F39E8DE" w:rsidR="00CB3A44" w:rsidRDefault="00E074FD" w:rsidP="00605D7C">
      <w:pPr>
        <w:widowControl/>
        <w:tabs>
          <w:tab w:val="left" w:pos="0"/>
        </w:tabs>
        <w:spacing w:line="480" w:lineRule="exact"/>
        <w:ind w:left="720" w:hanging="720"/>
        <w:jc w:val="both"/>
        <w:rPr>
          <w:szCs w:val="26"/>
        </w:rPr>
      </w:pPr>
      <w:r w:rsidRPr="00D13911">
        <w:rPr>
          <w:szCs w:val="26"/>
        </w:rPr>
        <w:t>A.</w:t>
      </w:r>
      <w:r w:rsidRPr="00D13911">
        <w:rPr>
          <w:szCs w:val="26"/>
        </w:rPr>
        <w:tab/>
        <w:t xml:space="preserve">Mr. </w:t>
      </w:r>
      <w:r>
        <w:rPr>
          <w:szCs w:val="26"/>
        </w:rPr>
        <w:t>Fairchild</w:t>
      </w:r>
      <w:r w:rsidRPr="00D13911">
        <w:rPr>
          <w:szCs w:val="26"/>
        </w:rPr>
        <w:t xml:space="preserve"> makes a </w:t>
      </w:r>
      <w:r w:rsidR="00F12533">
        <w:rPr>
          <w:szCs w:val="26"/>
        </w:rPr>
        <w:t>44 basis</w:t>
      </w:r>
      <w:r w:rsidR="00A76569">
        <w:rPr>
          <w:szCs w:val="26"/>
        </w:rPr>
        <w:t xml:space="preserve"> </w:t>
      </w:r>
      <w:r w:rsidR="00F12533">
        <w:rPr>
          <w:szCs w:val="26"/>
        </w:rPr>
        <w:t>point adjustment to his DCF and a 159</w:t>
      </w:r>
      <w:r w:rsidRPr="00D13911">
        <w:rPr>
          <w:szCs w:val="26"/>
        </w:rPr>
        <w:t xml:space="preserve"> basis point adjustment </w:t>
      </w:r>
      <w:r w:rsidR="00F12533">
        <w:rPr>
          <w:szCs w:val="26"/>
        </w:rPr>
        <w:t xml:space="preserve">to his CAPM </w:t>
      </w:r>
      <w:r w:rsidRPr="00D13911">
        <w:rPr>
          <w:szCs w:val="26"/>
        </w:rPr>
        <w:t xml:space="preserve">because he believes </w:t>
      </w:r>
      <w:r>
        <w:rPr>
          <w:szCs w:val="26"/>
        </w:rPr>
        <w:t>that investors require a higher return</w:t>
      </w:r>
      <w:r w:rsidR="00B372EA">
        <w:rPr>
          <w:szCs w:val="26"/>
        </w:rPr>
        <w:t xml:space="preserve"> on equity</w:t>
      </w:r>
      <w:r>
        <w:rPr>
          <w:szCs w:val="26"/>
        </w:rPr>
        <w:t xml:space="preserve"> from smaller firms than from larger firms, all else equal</w:t>
      </w:r>
      <w:r w:rsidRPr="00D13911">
        <w:rPr>
          <w:szCs w:val="26"/>
        </w:rPr>
        <w:t>.</w:t>
      </w:r>
      <w:r>
        <w:rPr>
          <w:rStyle w:val="FootnoteReference"/>
          <w:szCs w:val="26"/>
        </w:rPr>
        <w:footnoteReference w:id="19"/>
      </w:r>
      <w:r w:rsidRPr="00D13911">
        <w:rPr>
          <w:szCs w:val="26"/>
        </w:rPr>
        <w:t xml:space="preserve"> </w:t>
      </w:r>
    </w:p>
    <w:p w14:paraId="5BA75A6C" w14:textId="77777777" w:rsidR="00944E19" w:rsidRDefault="00944E19" w:rsidP="00E932E7">
      <w:pPr>
        <w:tabs>
          <w:tab w:val="left" w:pos="0"/>
        </w:tabs>
        <w:spacing w:line="240" w:lineRule="auto"/>
        <w:ind w:left="720" w:hanging="720"/>
        <w:jc w:val="both"/>
        <w:rPr>
          <w:szCs w:val="26"/>
        </w:rPr>
      </w:pPr>
    </w:p>
    <w:p w14:paraId="333A2801" w14:textId="7DDA3C6A" w:rsidR="00E074FD" w:rsidRPr="00D13911" w:rsidRDefault="00E074FD" w:rsidP="00204A6E">
      <w:pPr>
        <w:tabs>
          <w:tab w:val="left" w:pos="0"/>
        </w:tabs>
        <w:spacing w:line="480" w:lineRule="exact"/>
        <w:ind w:left="720" w:hanging="720"/>
        <w:jc w:val="both"/>
        <w:rPr>
          <w:b/>
          <w:szCs w:val="26"/>
        </w:rPr>
      </w:pPr>
      <w:r w:rsidRPr="00D13911">
        <w:rPr>
          <w:b/>
          <w:szCs w:val="26"/>
        </w:rPr>
        <w:t>Q.</w:t>
      </w:r>
      <w:r w:rsidRPr="00D13911">
        <w:rPr>
          <w:b/>
          <w:szCs w:val="26"/>
        </w:rPr>
        <w:tab/>
        <w:t xml:space="preserve">What comments do you have regarding Mr. </w:t>
      </w:r>
      <w:r>
        <w:rPr>
          <w:b/>
          <w:szCs w:val="26"/>
        </w:rPr>
        <w:t>Fairchild’s</w:t>
      </w:r>
      <w:r w:rsidRPr="00D13911">
        <w:rPr>
          <w:b/>
          <w:szCs w:val="26"/>
        </w:rPr>
        <w:t xml:space="preserve"> size adjustment?</w:t>
      </w:r>
    </w:p>
    <w:p w14:paraId="591D72C6" w14:textId="1ED0A3EB" w:rsidR="00E074FD" w:rsidRDefault="00E074FD" w:rsidP="00204A6E">
      <w:pPr>
        <w:spacing w:line="480" w:lineRule="exact"/>
        <w:ind w:left="720" w:hanging="720"/>
        <w:jc w:val="both"/>
      </w:pPr>
      <w:r w:rsidRPr="00D13911">
        <w:rPr>
          <w:szCs w:val="26"/>
        </w:rPr>
        <w:t>A.</w:t>
      </w:r>
      <w:r w:rsidRPr="00D13911">
        <w:rPr>
          <w:szCs w:val="26"/>
        </w:rPr>
        <w:tab/>
      </w:r>
      <w:r w:rsidRPr="00D13911">
        <w:t>First,</w:t>
      </w:r>
      <w:r>
        <w:t xml:space="preserve"> Mr. Fairchild’s size adjustment goes against recent Commission precedent.  In Docket No. 46245, the Commission rejected the utility’s requested ROE, which included a small size risk premium.</w:t>
      </w:r>
      <w:r>
        <w:rPr>
          <w:rStyle w:val="FootnoteReference"/>
        </w:rPr>
        <w:footnoteReference w:id="20"/>
      </w:r>
      <w:r>
        <w:t xml:space="preserve">  The utility in that case operated two water systems serving two different subdivisions for a total of 927 water customers, which is significantly less than the</w:t>
      </w:r>
      <w:r w:rsidR="004C2289">
        <w:t xml:space="preserve"> approximately</w:t>
      </w:r>
      <w:r>
        <w:t xml:space="preserve"> 3</w:t>
      </w:r>
      <w:r w:rsidR="004C2289">
        <w:t>0</w:t>
      </w:r>
      <w:r>
        <w:t>,</w:t>
      </w:r>
      <w:r w:rsidR="004C2289">
        <w:t>000</w:t>
      </w:r>
      <w:r>
        <w:t xml:space="preserve"> customers served by </w:t>
      </w:r>
      <w:r w:rsidR="004C2289">
        <w:t>Monarch</w:t>
      </w:r>
      <w:r>
        <w:t>.</w:t>
      </w:r>
      <w:r>
        <w:rPr>
          <w:rStyle w:val="FootnoteReference"/>
        </w:rPr>
        <w:footnoteReference w:id="21"/>
      </w:r>
      <w:r>
        <w:t xml:space="preserve">  </w:t>
      </w:r>
      <w:r w:rsidRPr="00D13911">
        <w:t xml:space="preserve"> </w:t>
      </w:r>
    </w:p>
    <w:p w14:paraId="59C8E98C" w14:textId="6D8C1C4D" w:rsidR="00E074FD" w:rsidRPr="00D13911" w:rsidRDefault="00E074FD" w:rsidP="00204A6E">
      <w:pPr>
        <w:spacing w:line="480" w:lineRule="exact"/>
        <w:ind w:left="720" w:hanging="576"/>
        <w:jc w:val="both"/>
      </w:pPr>
      <w:r>
        <w:tab/>
        <w:t xml:space="preserve">  </w:t>
      </w:r>
      <w:r w:rsidR="004C2289">
        <w:tab/>
      </w:r>
      <w:r>
        <w:t xml:space="preserve"> </w:t>
      </w:r>
      <w:r w:rsidR="00CB3A44">
        <w:tab/>
      </w:r>
      <w:r>
        <w:t xml:space="preserve">Second, </w:t>
      </w:r>
      <w:r w:rsidRPr="00D13911">
        <w:t>although the scale of operations for water utility distribution systems can vary, the basic nature of a water utility’s business does not change with respect to scale.  A water utility’s core business is to provide water to its customers, regardless of size.  Therefore, it must construct and maintain its distribution system, provide administrative functions, treat the water, etc.  This business model remains essentially the same for any size utility, along with the fact that water utilities operate as monopolies with a captive customer base in the areas they serve.</w:t>
      </w:r>
    </w:p>
    <w:p w14:paraId="0BB494FA" w14:textId="1D6EDC73" w:rsidR="00E074FD" w:rsidRPr="00D13911" w:rsidRDefault="00E074FD" w:rsidP="00204A6E">
      <w:pPr>
        <w:spacing w:line="480" w:lineRule="exact"/>
        <w:ind w:left="720" w:hanging="720"/>
        <w:jc w:val="both"/>
      </w:pPr>
      <w:r w:rsidRPr="00D13911">
        <w:tab/>
      </w:r>
      <w:r w:rsidRPr="00D13911">
        <w:tab/>
      </w:r>
      <w:r w:rsidR="004C2289">
        <w:tab/>
      </w:r>
      <w:r w:rsidR="00CB3A44">
        <w:tab/>
      </w:r>
      <w:r>
        <w:t>Third</w:t>
      </w:r>
      <w:r w:rsidRPr="00D13911">
        <w:t>, water utilities are regulated, and the utility’s earnings are set</w:t>
      </w:r>
      <w:r w:rsidR="00F47FE8">
        <w:t>,</w:t>
      </w:r>
      <w:r w:rsidRPr="00D13911">
        <w:t xml:space="preserve"> by the ratemaking process.  </w:t>
      </w:r>
      <w:r w:rsidR="00F47FE8">
        <w:t xml:space="preserve">This is true regardless of the utility’s size.  </w:t>
      </w:r>
      <w:r w:rsidRPr="00D13911">
        <w:t>The utilities are also subject to regulatory oversight.</w:t>
      </w:r>
    </w:p>
    <w:p w14:paraId="4B39AD7C" w14:textId="1C8DBFDA" w:rsidR="00E65ED3" w:rsidRDefault="00E074FD" w:rsidP="00204A6E">
      <w:pPr>
        <w:spacing w:after="240" w:line="480" w:lineRule="exact"/>
        <w:ind w:left="720" w:hanging="720"/>
        <w:jc w:val="both"/>
      </w:pPr>
      <w:r w:rsidRPr="00D13911">
        <w:lastRenderedPageBreak/>
        <w:tab/>
      </w:r>
      <w:r w:rsidRPr="00D13911">
        <w:tab/>
      </w:r>
      <w:r w:rsidR="004C2289">
        <w:tab/>
      </w:r>
      <w:r w:rsidR="00CB3A44">
        <w:tab/>
      </w:r>
      <w:r>
        <w:t>Fourth</w:t>
      </w:r>
      <w:r w:rsidRPr="00D13911">
        <w:t xml:space="preserve">, while Mr. </w:t>
      </w:r>
      <w:r w:rsidR="004C2289">
        <w:t>Fairchild</w:t>
      </w:r>
      <w:r w:rsidRPr="00D13911">
        <w:t xml:space="preserve"> </w:t>
      </w:r>
      <w:r w:rsidR="004C2289">
        <w:t>testifie</w:t>
      </w:r>
      <w:r w:rsidR="0051673F">
        <w:t>s</w:t>
      </w:r>
      <w:r w:rsidR="004C2289">
        <w:t xml:space="preserve"> that financial literature shows that investors require a higher return from smaller firms, this financial literature is not</w:t>
      </w:r>
      <w:r w:rsidRPr="00D13911">
        <w:t xml:space="preserve"> specific to the utility industry.  </w:t>
      </w:r>
      <w:r w:rsidR="0051673F">
        <w:t>There are, h</w:t>
      </w:r>
      <w:r w:rsidR="0051673F" w:rsidRPr="00D13911">
        <w:t>owever</w:t>
      </w:r>
      <w:r w:rsidRPr="00D13911">
        <w:t>, articles examining the size premium in the utility industry</w:t>
      </w:r>
      <w:r w:rsidR="004C2289">
        <w:t xml:space="preserve"> specifically</w:t>
      </w:r>
      <w:r w:rsidRPr="00D13911">
        <w:t>.  Wallace Davidson states:</w:t>
      </w:r>
    </w:p>
    <w:p w14:paraId="72D27DE7" w14:textId="5034B4EF" w:rsidR="00E074FD" w:rsidRPr="00D13911" w:rsidRDefault="00E074FD" w:rsidP="004375C8">
      <w:pPr>
        <w:spacing w:after="240" w:line="240" w:lineRule="auto"/>
        <w:ind w:left="1440" w:right="893"/>
        <w:jc w:val="both"/>
      </w:pPr>
      <w:r w:rsidRPr="00D13911">
        <w:t>[O]</w:t>
      </w:r>
      <w:proofErr w:type="spellStart"/>
      <w:r w:rsidRPr="00D13911">
        <w:t>ur</w:t>
      </w:r>
      <w:proofErr w:type="spellEnd"/>
      <w:r w:rsidRPr="00D13911">
        <w:t xml:space="preserve"> results suggest that neither large nor small utilities merit a premium because of their size.  The implications of our findings for regulatory officials for regulatory accounting standard-setters are straightforward: we find no evidence among the electric utility industry…to suggest that a utility’s cost of capital or its allowable ARR should be adjusted to reflect firm size.</w:t>
      </w:r>
      <w:r w:rsidRPr="00D13911">
        <w:rPr>
          <w:rStyle w:val="FootnoteReference"/>
        </w:rPr>
        <w:footnoteReference w:id="22"/>
      </w:r>
    </w:p>
    <w:p w14:paraId="6E3EB54E" w14:textId="266608AB" w:rsidR="00204A6E" w:rsidRPr="00D13911" w:rsidRDefault="00E074FD" w:rsidP="004375C8">
      <w:pPr>
        <w:spacing w:after="240" w:line="480" w:lineRule="exact"/>
        <w:ind w:left="720" w:hanging="720"/>
        <w:jc w:val="both"/>
      </w:pPr>
      <w:r w:rsidRPr="00D13911">
        <w:tab/>
        <w:t>In research also specific to public utilities, Professor Annie Wong states:</w:t>
      </w:r>
    </w:p>
    <w:p w14:paraId="52D772D1" w14:textId="3D580AB3" w:rsidR="00E074FD" w:rsidRPr="00D13911" w:rsidRDefault="00E074FD" w:rsidP="004375C8">
      <w:pPr>
        <w:spacing w:after="240" w:line="240" w:lineRule="auto"/>
        <w:ind w:left="1440" w:right="893"/>
        <w:jc w:val="both"/>
      </w:pPr>
      <w:r w:rsidRPr="00D13911">
        <w:t>[G]</w:t>
      </w:r>
      <w:proofErr w:type="spellStart"/>
      <w:r w:rsidRPr="00D13911">
        <w:t>iven</w:t>
      </w:r>
      <w:proofErr w:type="spellEnd"/>
      <w:r w:rsidRPr="00D13911">
        <w:t xml:space="preserve"> firm size, utility stocks are consistently less risky than industrial stocks.  Second, industrial betas tend to decrease with firm size, but utility betas do not.  These findings may be attributed to the fact that all public utilities operate in an environment with regional monopolistic power and regulated financial structure.  As a result, the business and financial risks are very similar among the utilities regardless of their size.  Therefore, utility betas would not necessarily be related to firm size.</w:t>
      </w:r>
    </w:p>
    <w:p w14:paraId="2E5CAFFE" w14:textId="40417251" w:rsidR="00E074FD" w:rsidRPr="00D13911" w:rsidRDefault="00E074FD" w:rsidP="004375C8">
      <w:pPr>
        <w:spacing w:after="240" w:line="480" w:lineRule="exact"/>
        <w:ind w:left="720"/>
        <w:jc w:val="both"/>
      </w:pPr>
      <w:r w:rsidRPr="00D13911">
        <w:t>She then concludes:</w:t>
      </w:r>
    </w:p>
    <w:p w14:paraId="34D8649D" w14:textId="77777777" w:rsidR="00E074FD" w:rsidRDefault="00E074FD" w:rsidP="004375C8">
      <w:pPr>
        <w:spacing w:after="240" w:line="240" w:lineRule="auto"/>
        <w:ind w:left="1440" w:right="893"/>
        <w:jc w:val="both"/>
        <w:rPr>
          <w:vertAlign w:val="superscript"/>
        </w:rPr>
      </w:pPr>
      <w:r w:rsidRPr="00D13911">
        <w:t>The object of this study is to examine if the size effect exists in the utility industry.  After controlling for equity values, there is some weak evidence that firm size is a missing factor from the CAPM for industrial but not utility stocks.  This implies that although the size phenomenon has been strongly documented for industrials, findings suggest that there is no need to adjust for the firm size in utility regulation.</w:t>
      </w:r>
      <w:r w:rsidRPr="00D13911">
        <w:rPr>
          <w:rStyle w:val="FootnoteReference"/>
        </w:rPr>
        <w:footnoteReference w:id="23"/>
      </w:r>
      <w:r w:rsidRPr="00D13911">
        <w:rPr>
          <w:vertAlign w:val="superscript"/>
        </w:rPr>
        <w:t xml:space="preserve"> </w:t>
      </w:r>
    </w:p>
    <w:p w14:paraId="4492E303" w14:textId="2A2F7FB4" w:rsidR="00E074FD" w:rsidRPr="003B6BC0" w:rsidRDefault="00E074FD" w:rsidP="00204A6E">
      <w:pPr>
        <w:spacing w:line="480" w:lineRule="exact"/>
        <w:ind w:left="720" w:hanging="720"/>
        <w:jc w:val="both"/>
      </w:pPr>
      <w:r>
        <w:tab/>
      </w:r>
      <w:r w:rsidRPr="00E33672">
        <w:tab/>
      </w:r>
      <w:r w:rsidR="004C2289">
        <w:tab/>
      </w:r>
      <w:r w:rsidR="004C2289">
        <w:rPr>
          <w:color w:val="4BACC6" w:themeColor="accent5"/>
        </w:rPr>
        <w:tab/>
      </w:r>
      <w:r w:rsidRPr="003B6BC0">
        <w:t xml:space="preserve">Finally, </w:t>
      </w:r>
      <w:r w:rsidR="004C2289">
        <w:t>Monarch</w:t>
      </w:r>
      <w:r w:rsidRPr="003B6BC0">
        <w:t xml:space="preserve"> receives its capital from its parent company </w:t>
      </w:r>
      <w:proofErr w:type="spellStart"/>
      <w:r w:rsidRPr="003B6BC0">
        <w:t>SouthWest</w:t>
      </w:r>
      <w:proofErr w:type="spellEnd"/>
      <w:r w:rsidR="00B372EA">
        <w:t xml:space="preserve"> Water </w:t>
      </w:r>
      <w:r w:rsidR="00B372EA">
        <w:lastRenderedPageBreak/>
        <w:t>Company (</w:t>
      </w:r>
      <w:proofErr w:type="spellStart"/>
      <w:r w:rsidR="00B372EA">
        <w:t>SouthWest</w:t>
      </w:r>
      <w:proofErr w:type="spellEnd"/>
      <w:r w:rsidR="00B372EA">
        <w:t>)</w:t>
      </w:r>
      <w:r>
        <w:t>;</w:t>
      </w:r>
      <w:r w:rsidRPr="003B6BC0">
        <w:t xml:space="preserve"> therefore, it is </w:t>
      </w:r>
      <w:proofErr w:type="spellStart"/>
      <w:r w:rsidRPr="003B6BC0">
        <w:t>SouthWest’s</w:t>
      </w:r>
      <w:proofErr w:type="spellEnd"/>
      <w:r w:rsidRPr="003B6BC0">
        <w:t xml:space="preserve"> size that </w:t>
      </w:r>
      <w:r w:rsidR="0051673F">
        <w:t>is the appropriate comparison</w:t>
      </w:r>
      <w:r w:rsidRPr="003B6BC0">
        <w:t xml:space="preserve"> to </w:t>
      </w:r>
      <w:r w:rsidR="0051673F">
        <w:t xml:space="preserve">that of </w:t>
      </w:r>
      <w:r w:rsidRPr="003B6BC0">
        <w:t xml:space="preserve">the barometer group. </w:t>
      </w:r>
      <w:r w:rsidR="0051673F">
        <w:t xml:space="preserve"> </w:t>
      </w:r>
      <w:r w:rsidR="00F12533">
        <w:t xml:space="preserve">Specifically, </w:t>
      </w:r>
      <w:r w:rsidR="0051673F">
        <w:t xml:space="preserve">the $882 million market cap of </w:t>
      </w:r>
      <w:proofErr w:type="spellStart"/>
      <w:r w:rsidR="00F12533">
        <w:t>SouthWest</w:t>
      </w:r>
      <w:proofErr w:type="spellEnd"/>
      <w:r w:rsidR="00F12533">
        <w:t xml:space="preserve">, </w:t>
      </w:r>
      <w:r w:rsidR="0051673F">
        <w:t>as</w:t>
      </w:r>
      <w:r w:rsidR="00F12533">
        <w:t xml:space="preserve"> approximated by Mr. Fairchild, is </w:t>
      </w:r>
      <w:r w:rsidR="0052007C">
        <w:t xml:space="preserve">$297 million </w:t>
      </w:r>
      <w:r w:rsidR="00F12533">
        <w:t xml:space="preserve">larger than </w:t>
      </w:r>
      <w:r w:rsidR="0052007C">
        <w:t xml:space="preserve">the $575 million market cap of </w:t>
      </w:r>
      <w:r w:rsidR="00F12533">
        <w:t>York Water, a water utility included in the barometer group.</w:t>
      </w:r>
      <w:r w:rsidR="00F12533">
        <w:rPr>
          <w:rStyle w:val="FootnoteReference"/>
        </w:rPr>
        <w:footnoteReference w:id="24"/>
      </w:r>
      <w:r w:rsidR="00F12533">
        <w:t xml:space="preserve">  </w:t>
      </w:r>
      <w:proofErr w:type="spellStart"/>
      <w:r w:rsidRPr="003B6BC0">
        <w:t>SouthWest</w:t>
      </w:r>
      <w:proofErr w:type="spellEnd"/>
      <w:r w:rsidRPr="003B6BC0">
        <w:t xml:space="preserve"> </w:t>
      </w:r>
      <w:r w:rsidR="00F12533">
        <w:t>also once</w:t>
      </w:r>
      <w:r w:rsidRPr="003B6BC0">
        <w:t xml:space="preserve"> traded on the National Association of Securities Dealers Automated Quotations (NASDAQ) under the symbol SWWC.</w:t>
      </w:r>
      <w:r>
        <w:t xml:space="preserve">  </w:t>
      </w:r>
      <w:r w:rsidR="00A76569">
        <w:t xml:space="preserve">Therefore, </w:t>
      </w:r>
      <w:proofErr w:type="spellStart"/>
      <w:r w:rsidR="00A76569">
        <w:t>SouthWest</w:t>
      </w:r>
      <w:proofErr w:type="spellEnd"/>
      <w:r w:rsidR="00A76569">
        <w:t xml:space="preserve"> is similar in size to the barometer group.</w:t>
      </w:r>
    </w:p>
    <w:p w14:paraId="521BC474" w14:textId="2D8627AC" w:rsidR="00E074FD" w:rsidRPr="00D13911" w:rsidRDefault="00E074FD" w:rsidP="00204A6E">
      <w:pPr>
        <w:spacing w:line="480" w:lineRule="exact"/>
        <w:ind w:left="720" w:firstLine="720"/>
        <w:jc w:val="both"/>
      </w:pPr>
      <w:r w:rsidRPr="00D13911">
        <w:t xml:space="preserve">For all these reasons, I </w:t>
      </w:r>
      <w:r>
        <w:t>recommend that</w:t>
      </w:r>
      <w:r w:rsidRPr="00D13911">
        <w:t xml:space="preserve"> </w:t>
      </w:r>
      <w:r w:rsidR="0051673F">
        <w:t xml:space="preserve">the Commission reject </w:t>
      </w:r>
      <w:r w:rsidRPr="00D13911">
        <w:t xml:space="preserve">Mr. </w:t>
      </w:r>
      <w:r w:rsidR="004C2289">
        <w:t>Fairchild’s</w:t>
      </w:r>
      <w:r w:rsidRPr="00D13911">
        <w:t xml:space="preserve"> size adjustment </w:t>
      </w:r>
      <w:r>
        <w:t xml:space="preserve">and </w:t>
      </w:r>
      <w:r w:rsidR="0051673F">
        <w:t xml:space="preserve">include </w:t>
      </w:r>
      <w:r>
        <w:t xml:space="preserve">no </w:t>
      </w:r>
      <w:r w:rsidRPr="00D13911">
        <w:t xml:space="preserve">size premium </w:t>
      </w:r>
      <w:r>
        <w:t xml:space="preserve">in the return calculation </w:t>
      </w:r>
      <w:r w:rsidRPr="00D13911">
        <w:t xml:space="preserve">in this </w:t>
      </w:r>
      <w:r w:rsidR="00B372EA">
        <w:t>proceeding</w:t>
      </w:r>
      <w:r w:rsidRPr="00D13911">
        <w:t>.</w:t>
      </w:r>
    </w:p>
    <w:p w14:paraId="54C57E6D" w14:textId="77777777" w:rsidR="00E074FD" w:rsidRPr="00E074FD" w:rsidRDefault="00E074FD" w:rsidP="00204A6E">
      <w:pPr>
        <w:spacing w:line="480" w:lineRule="exact"/>
      </w:pPr>
    </w:p>
    <w:p w14:paraId="58363543" w14:textId="1A872235" w:rsidR="00563E7C" w:rsidRDefault="00563E7C" w:rsidP="00204A6E">
      <w:pPr>
        <w:pStyle w:val="Heading1"/>
        <w:spacing w:line="480" w:lineRule="exact"/>
        <w:ind w:left="720" w:hanging="720"/>
        <w:jc w:val="both"/>
        <w:rPr>
          <w:szCs w:val="24"/>
        </w:rPr>
      </w:pPr>
      <w:bookmarkStart w:id="22" w:name="_Toc54606370"/>
      <w:r>
        <w:rPr>
          <w:szCs w:val="24"/>
        </w:rPr>
        <w:t>OTHER COMMENTS</w:t>
      </w:r>
      <w:bookmarkEnd w:id="22"/>
    </w:p>
    <w:p w14:paraId="01A3E503" w14:textId="5D944235" w:rsidR="00563E7C" w:rsidRDefault="00563E7C" w:rsidP="00204A6E">
      <w:pPr>
        <w:spacing w:line="480" w:lineRule="exact"/>
        <w:ind w:left="720" w:hanging="720"/>
        <w:jc w:val="both"/>
        <w:rPr>
          <w:b/>
          <w:bCs/>
        </w:rPr>
      </w:pPr>
      <w:r>
        <w:rPr>
          <w:b/>
          <w:bCs/>
        </w:rPr>
        <w:t>Q.</w:t>
      </w:r>
      <w:r>
        <w:rPr>
          <w:b/>
          <w:bCs/>
        </w:rPr>
        <w:tab/>
        <w:t>Do you agree with</w:t>
      </w:r>
      <w:r w:rsidR="00580B86">
        <w:rPr>
          <w:b/>
          <w:bCs/>
        </w:rPr>
        <w:t xml:space="preserve"> Mr. Fairchild’s use of the</w:t>
      </w:r>
      <w:r>
        <w:rPr>
          <w:b/>
          <w:bCs/>
        </w:rPr>
        <w:t xml:space="preserve"> Value Line book earnings for ROE </w:t>
      </w:r>
      <w:r w:rsidR="0052007C">
        <w:rPr>
          <w:b/>
          <w:bCs/>
        </w:rPr>
        <w:t>as a tool for</w:t>
      </w:r>
      <w:r>
        <w:rPr>
          <w:b/>
          <w:bCs/>
        </w:rPr>
        <w:t xml:space="preserve"> compar</w:t>
      </w:r>
      <w:r w:rsidR="0052007C">
        <w:rPr>
          <w:b/>
          <w:bCs/>
        </w:rPr>
        <w:t>ing</w:t>
      </w:r>
      <w:r>
        <w:rPr>
          <w:b/>
          <w:bCs/>
        </w:rPr>
        <w:t xml:space="preserve"> and recommend</w:t>
      </w:r>
      <w:r w:rsidR="0052007C">
        <w:rPr>
          <w:b/>
          <w:bCs/>
        </w:rPr>
        <w:t>ing</w:t>
      </w:r>
      <w:r>
        <w:rPr>
          <w:b/>
          <w:bCs/>
        </w:rPr>
        <w:t xml:space="preserve"> a</w:t>
      </w:r>
      <w:r w:rsidR="0052007C">
        <w:rPr>
          <w:b/>
          <w:bCs/>
        </w:rPr>
        <w:t>n appropriate</w:t>
      </w:r>
      <w:r>
        <w:rPr>
          <w:b/>
          <w:bCs/>
        </w:rPr>
        <w:t xml:space="preserve"> ROE for Monarch?</w:t>
      </w:r>
    </w:p>
    <w:p w14:paraId="15B1EE09" w14:textId="101FD3D5" w:rsidR="008E0D83" w:rsidRDefault="00563E7C" w:rsidP="004375C8">
      <w:pPr>
        <w:spacing w:line="480" w:lineRule="exact"/>
        <w:ind w:left="720" w:hanging="720"/>
        <w:jc w:val="both"/>
      </w:pPr>
      <w:r>
        <w:t>A.</w:t>
      </w:r>
      <w:r>
        <w:tab/>
      </w:r>
      <w:r w:rsidRPr="00B50B45">
        <w:t xml:space="preserve">No.  Value Line </w:t>
      </w:r>
      <w:r w:rsidR="00B50B45" w:rsidRPr="00B50B45">
        <w:t>uses basic accounting principles, whereas for a rate case we use ratemaking principles.  Ratemaking principles include such adjustments as non-recurring items, unusual items, unnecessary and unreasonable costs, normalizations of certain expenses</w:t>
      </w:r>
      <w:r w:rsidRPr="00B50B45">
        <w:t xml:space="preserve">, </w:t>
      </w:r>
      <w:r w:rsidR="00B50B45" w:rsidRPr="00B50B45">
        <w:t xml:space="preserve">and </w:t>
      </w:r>
      <w:r w:rsidRPr="00B50B45">
        <w:t>straight</w:t>
      </w:r>
      <w:r w:rsidR="00B50B45">
        <w:t>-</w:t>
      </w:r>
      <w:r w:rsidRPr="00B50B45">
        <w:t>line depreciation.  Therefore</w:t>
      </w:r>
      <w:r w:rsidR="00FD1BDB" w:rsidRPr="00B50B45">
        <w:t>,</w:t>
      </w:r>
      <w:r w:rsidRPr="00B50B45">
        <w:t xml:space="preserve"> the ROEs listed </w:t>
      </w:r>
      <w:r w:rsidR="0052007C">
        <w:t>in</w:t>
      </w:r>
      <w:r w:rsidR="0052007C" w:rsidRPr="00B50B45">
        <w:t xml:space="preserve"> </w:t>
      </w:r>
      <w:r w:rsidRPr="00B50B45">
        <w:t xml:space="preserve">Value Line are not equivalent to </w:t>
      </w:r>
      <w:r w:rsidR="00F907FB">
        <w:t xml:space="preserve">those </w:t>
      </w:r>
      <w:r w:rsidRPr="00B50B45">
        <w:t xml:space="preserve">that </w:t>
      </w:r>
      <w:r w:rsidR="0052007C">
        <w:t>are</w:t>
      </w:r>
      <w:r w:rsidRPr="00B50B45">
        <w:t xml:space="preserve"> set during a rate proceedin</w:t>
      </w:r>
      <w:r w:rsidR="00B50B45">
        <w:t>g and should not be used for comparative purposes to set return</w:t>
      </w:r>
      <w:r w:rsidR="00FA7F13">
        <w:t xml:space="preserve"> in this proceeding.</w:t>
      </w:r>
    </w:p>
    <w:p w14:paraId="300E3CF1" w14:textId="77777777" w:rsidR="004375C8" w:rsidRDefault="004375C8" w:rsidP="00605D7C">
      <w:pPr>
        <w:spacing w:line="240" w:lineRule="auto"/>
        <w:ind w:left="720" w:hanging="720"/>
        <w:jc w:val="both"/>
      </w:pPr>
    </w:p>
    <w:p w14:paraId="57BCD545" w14:textId="7101564B" w:rsidR="00563E7C" w:rsidRDefault="00563E7C" w:rsidP="00204A6E">
      <w:pPr>
        <w:spacing w:line="480" w:lineRule="exact"/>
        <w:ind w:left="720" w:hanging="720"/>
        <w:jc w:val="both"/>
        <w:rPr>
          <w:b/>
          <w:bCs/>
        </w:rPr>
      </w:pPr>
      <w:r>
        <w:rPr>
          <w:b/>
          <w:bCs/>
        </w:rPr>
        <w:t>Q.</w:t>
      </w:r>
      <w:r>
        <w:rPr>
          <w:b/>
          <w:bCs/>
        </w:rPr>
        <w:tab/>
        <w:t xml:space="preserve">Do you agree Monarch needs a higher ROE to reflect the </w:t>
      </w:r>
      <w:r w:rsidR="00A87E64">
        <w:rPr>
          <w:b/>
          <w:bCs/>
        </w:rPr>
        <w:t xml:space="preserve">increased risk of investing in common stocks </w:t>
      </w:r>
      <w:r w:rsidR="00FA3BE7">
        <w:rPr>
          <w:b/>
          <w:bCs/>
        </w:rPr>
        <w:t>because of</w:t>
      </w:r>
      <w:r w:rsidR="00A87E64">
        <w:rPr>
          <w:b/>
          <w:bCs/>
        </w:rPr>
        <w:t xml:space="preserve"> the current economy?</w:t>
      </w:r>
      <w:r w:rsidR="00A87E64">
        <w:rPr>
          <w:rStyle w:val="FootnoteReference"/>
          <w:b/>
          <w:bCs/>
        </w:rPr>
        <w:footnoteReference w:id="25"/>
      </w:r>
    </w:p>
    <w:p w14:paraId="13893DFC" w14:textId="77777777" w:rsidR="00FA3BE7" w:rsidRDefault="00A87E64" w:rsidP="00204A6E">
      <w:pPr>
        <w:spacing w:line="480" w:lineRule="exact"/>
        <w:ind w:left="720" w:hanging="720"/>
        <w:jc w:val="both"/>
      </w:pPr>
      <w:r>
        <w:t>A.</w:t>
      </w:r>
      <w:r>
        <w:tab/>
        <w:t>Not in relation to water utility stocks.  The Water Utility Industry report by Value Line states</w:t>
      </w:r>
      <w:r w:rsidR="00FA3BE7">
        <w:t>:</w:t>
      </w:r>
    </w:p>
    <w:p w14:paraId="593B98BA" w14:textId="517A1151" w:rsidR="00B973E1" w:rsidRPr="00B973E1" w:rsidRDefault="00A87E64" w:rsidP="00605D7C">
      <w:pPr>
        <w:widowControl/>
        <w:spacing w:line="240" w:lineRule="auto"/>
        <w:ind w:left="1440" w:right="720"/>
        <w:jc w:val="both"/>
      </w:pPr>
      <w:r>
        <w:lastRenderedPageBreak/>
        <w:t>Not many industries have the stability of these utilities.  Much of this is due to water being an essential commodity that has very predictable demand.  Whether the economy is booming or in a recession, people are still going to consume water for their personal needs.  So, earning swings in these companies are much lower than the average business.</w:t>
      </w:r>
      <w:r>
        <w:rPr>
          <w:rStyle w:val="FootnoteReference"/>
        </w:rPr>
        <w:footnoteReference w:id="26"/>
      </w:r>
      <w:r>
        <w:t xml:space="preserve">  </w:t>
      </w:r>
    </w:p>
    <w:p w14:paraId="7CFBFF40" w14:textId="77777777" w:rsidR="008E0D83" w:rsidRDefault="008E0D83" w:rsidP="00605D7C">
      <w:pPr>
        <w:spacing w:line="240" w:lineRule="auto"/>
        <w:ind w:left="720" w:hanging="720"/>
        <w:contextualSpacing/>
        <w:jc w:val="both"/>
        <w:rPr>
          <w:b/>
          <w:bCs/>
        </w:rPr>
      </w:pPr>
    </w:p>
    <w:p w14:paraId="01FA9221" w14:textId="14BEF64F" w:rsidR="00563E7C" w:rsidRDefault="00563E7C" w:rsidP="00204A6E">
      <w:pPr>
        <w:spacing w:line="480" w:lineRule="exact"/>
        <w:ind w:left="720" w:hanging="720"/>
        <w:contextualSpacing/>
        <w:jc w:val="both"/>
        <w:rPr>
          <w:b/>
          <w:bCs/>
        </w:rPr>
      </w:pPr>
      <w:r>
        <w:rPr>
          <w:b/>
          <w:bCs/>
        </w:rPr>
        <w:t>Q.</w:t>
      </w:r>
      <w:r>
        <w:rPr>
          <w:b/>
          <w:bCs/>
        </w:rPr>
        <w:tab/>
        <w:t xml:space="preserve">Do you agree Monarch needs to have a higher ROE to cost-justify its initial investment and additional capital improvements </w:t>
      </w:r>
      <w:r w:rsidR="00FA3BE7">
        <w:rPr>
          <w:b/>
          <w:bCs/>
        </w:rPr>
        <w:t xml:space="preserve">necessary </w:t>
      </w:r>
      <w:r>
        <w:rPr>
          <w:b/>
          <w:bCs/>
        </w:rPr>
        <w:t>for acquiring operationally and financially distressed water and wastewater systems in Texas?</w:t>
      </w:r>
      <w:r w:rsidR="00A87E64">
        <w:rPr>
          <w:rStyle w:val="FootnoteReference"/>
          <w:b/>
          <w:bCs/>
        </w:rPr>
        <w:footnoteReference w:id="27"/>
      </w:r>
    </w:p>
    <w:p w14:paraId="2C35CE09" w14:textId="0A3FD780" w:rsidR="00A932AB" w:rsidRDefault="00563E7C" w:rsidP="00204A6E">
      <w:pPr>
        <w:spacing w:line="480" w:lineRule="exact"/>
        <w:ind w:left="720" w:hanging="720"/>
        <w:contextualSpacing/>
        <w:jc w:val="both"/>
      </w:pPr>
      <w:r>
        <w:t>A.</w:t>
      </w:r>
      <w:r>
        <w:tab/>
        <w:t xml:space="preserve">No.  The Commission has recently released rules </w:t>
      </w:r>
      <w:r w:rsidR="00FA3BE7">
        <w:t xml:space="preserve">pertaining </w:t>
      </w:r>
      <w:r>
        <w:t xml:space="preserve">to legislation related to </w:t>
      </w:r>
      <w:r w:rsidR="00FA3BE7">
        <w:t xml:space="preserve">the use of </w:t>
      </w:r>
      <w:r>
        <w:t xml:space="preserve">fair market value.  </w:t>
      </w:r>
      <w:r w:rsidR="00FA3BE7">
        <w:t xml:space="preserve">This legislation </w:t>
      </w:r>
      <w:r>
        <w:t xml:space="preserve">allows </w:t>
      </w:r>
      <w:r w:rsidR="00FA3BE7">
        <w:t xml:space="preserve">a utility </w:t>
      </w:r>
      <w:r>
        <w:t xml:space="preserve">to record on its books a “fair market value” </w:t>
      </w:r>
      <w:r w:rsidR="00FA3BE7">
        <w:t xml:space="preserve">that </w:t>
      </w:r>
      <w:r>
        <w:t xml:space="preserve">is different from the </w:t>
      </w:r>
      <w:r w:rsidR="00FA3BE7">
        <w:t xml:space="preserve">net amount of </w:t>
      </w:r>
      <w:r>
        <w:t>original cost</w:t>
      </w:r>
      <w:r w:rsidR="00A87E64">
        <w:t xml:space="preserve"> less accumulated depreciation</w:t>
      </w:r>
      <w:r>
        <w:t xml:space="preserve"> that would typically get recorded when </w:t>
      </w:r>
      <w:r w:rsidR="00A76569">
        <w:t>one</w:t>
      </w:r>
      <w:r>
        <w:t xml:space="preserve"> utility acquires another utility.  </w:t>
      </w:r>
      <w:r w:rsidR="00FA3BE7">
        <w:t>T</w:t>
      </w:r>
      <w:r>
        <w:t xml:space="preserve">he Commission is </w:t>
      </w:r>
      <w:r w:rsidR="00FA3BE7">
        <w:t xml:space="preserve">also </w:t>
      </w:r>
      <w:r>
        <w:t xml:space="preserve">working on rules </w:t>
      </w:r>
      <w:r w:rsidR="00FA3BE7">
        <w:t xml:space="preserve">pertaining </w:t>
      </w:r>
      <w:r>
        <w:t xml:space="preserve">to legislation related to a system improvement charge.  This </w:t>
      </w:r>
      <w:r w:rsidR="00FA3BE7">
        <w:t xml:space="preserve">rule </w:t>
      </w:r>
      <w:r>
        <w:t>will allow a utility to start recovery of plant</w:t>
      </w:r>
      <w:r w:rsidR="00580B86">
        <w:t xml:space="preserve"> </w:t>
      </w:r>
      <w:r w:rsidR="002D148E">
        <w:t>i</w:t>
      </w:r>
      <w:r>
        <w:t xml:space="preserve">n between </w:t>
      </w:r>
      <w:r w:rsidR="00A932AB">
        <w:t xml:space="preserve">comprehensive </w:t>
      </w:r>
      <w:r>
        <w:t xml:space="preserve">rate cases.  These two legislative initiatives reduce Monarch’s regulatory lag on plant and allows </w:t>
      </w:r>
      <w:r w:rsidR="002D148E">
        <w:t xml:space="preserve">it </w:t>
      </w:r>
      <w:r>
        <w:t xml:space="preserve">to recover an amount higher than the original cost on acquired plant.  Therefore, </w:t>
      </w:r>
      <w:r w:rsidR="00A87E64">
        <w:t xml:space="preserve">there is no need to further increase Monarch’s ROE </w:t>
      </w:r>
      <w:r w:rsidR="002D148E">
        <w:t xml:space="preserve">given the opportunity for Monarch to avail itself of </w:t>
      </w:r>
      <w:r w:rsidR="00A87E64">
        <w:t>the</w:t>
      </w:r>
      <w:r w:rsidR="002D148E">
        <w:t xml:space="preserve"> cost-recovery mechanisms resulting from the</w:t>
      </w:r>
      <w:r w:rsidR="00A87E64">
        <w:t xml:space="preserve"> two </w:t>
      </w:r>
      <w:r w:rsidR="00ED7C1F">
        <w:t xml:space="preserve">new </w:t>
      </w:r>
      <w:r w:rsidR="00A87E64">
        <w:t>legislations.</w:t>
      </w:r>
    </w:p>
    <w:p w14:paraId="4E3AFC27" w14:textId="29288699" w:rsidR="00DF66B7" w:rsidRDefault="00F95BCD" w:rsidP="00605D7C">
      <w:pPr>
        <w:tabs>
          <w:tab w:val="left" w:pos="5629"/>
        </w:tabs>
        <w:spacing w:line="240" w:lineRule="auto"/>
        <w:ind w:left="720" w:hanging="720"/>
        <w:contextualSpacing/>
        <w:jc w:val="both"/>
      </w:pPr>
      <w:r>
        <w:tab/>
      </w:r>
      <w:r>
        <w:tab/>
      </w:r>
    </w:p>
    <w:p w14:paraId="111CA645" w14:textId="7F6C8DB0" w:rsidR="00E17E5C" w:rsidRDefault="00E17E5C" w:rsidP="00204A6E">
      <w:pPr>
        <w:spacing w:line="480" w:lineRule="exact"/>
        <w:ind w:left="720" w:hanging="720"/>
        <w:contextualSpacing/>
        <w:jc w:val="both"/>
        <w:rPr>
          <w:b/>
          <w:bCs/>
        </w:rPr>
      </w:pPr>
      <w:r>
        <w:rPr>
          <w:b/>
          <w:bCs/>
        </w:rPr>
        <w:t>Q.</w:t>
      </w:r>
      <w:r>
        <w:rPr>
          <w:b/>
          <w:bCs/>
        </w:rPr>
        <w:tab/>
        <w:t xml:space="preserve">Is there </w:t>
      </w:r>
      <w:r w:rsidR="002D148E">
        <w:rPr>
          <w:b/>
          <w:bCs/>
        </w:rPr>
        <w:t xml:space="preserve">available </w:t>
      </w:r>
      <w:r>
        <w:rPr>
          <w:b/>
          <w:bCs/>
        </w:rPr>
        <w:t xml:space="preserve">historical </w:t>
      </w:r>
      <w:r w:rsidR="002D148E">
        <w:rPr>
          <w:b/>
          <w:bCs/>
        </w:rPr>
        <w:t xml:space="preserve">information </w:t>
      </w:r>
      <w:r>
        <w:rPr>
          <w:b/>
          <w:bCs/>
        </w:rPr>
        <w:t>related to</w:t>
      </w:r>
      <w:r w:rsidR="002D148E">
        <w:rPr>
          <w:b/>
          <w:bCs/>
        </w:rPr>
        <w:t xml:space="preserve"> the</w:t>
      </w:r>
      <w:r>
        <w:rPr>
          <w:b/>
          <w:bCs/>
        </w:rPr>
        <w:t xml:space="preserve"> ROEs </w:t>
      </w:r>
      <w:r w:rsidR="002D148E">
        <w:rPr>
          <w:b/>
          <w:bCs/>
        </w:rPr>
        <w:t xml:space="preserve">that the Commission has </w:t>
      </w:r>
      <w:r>
        <w:rPr>
          <w:b/>
          <w:bCs/>
        </w:rPr>
        <w:t xml:space="preserve">previously granted </w:t>
      </w:r>
      <w:r w:rsidR="002D148E">
        <w:rPr>
          <w:b/>
          <w:bCs/>
        </w:rPr>
        <w:t xml:space="preserve">to </w:t>
      </w:r>
      <w:r>
        <w:rPr>
          <w:b/>
          <w:bCs/>
        </w:rPr>
        <w:t>water utilities?</w:t>
      </w:r>
    </w:p>
    <w:p w14:paraId="188AA6A0" w14:textId="48DE2039" w:rsidR="00A932AB" w:rsidRDefault="00E17E5C" w:rsidP="00605D7C">
      <w:pPr>
        <w:widowControl/>
        <w:spacing w:line="480" w:lineRule="exact"/>
        <w:ind w:left="720" w:hanging="720"/>
        <w:contextualSpacing/>
        <w:jc w:val="both"/>
      </w:pPr>
      <w:r>
        <w:t>A.</w:t>
      </w:r>
      <w:r>
        <w:tab/>
        <w:t>Yes.  On the Commission</w:t>
      </w:r>
      <w:r w:rsidR="00A932AB">
        <w:t>’s</w:t>
      </w:r>
      <w:r>
        <w:t xml:space="preserve"> website, </w:t>
      </w:r>
      <w:r w:rsidR="00A932AB">
        <w:t>the Rate of Return Report</w:t>
      </w:r>
      <w:r w:rsidR="002D148E">
        <w:t xml:space="preserve"> </w:t>
      </w:r>
      <w:r>
        <w:t xml:space="preserve">shows a history of cases </w:t>
      </w:r>
      <w:r w:rsidR="002D148E">
        <w:t xml:space="preserve">in which the Commission has decided the rate of </w:t>
      </w:r>
      <w:r>
        <w:t>return.</w:t>
      </w:r>
      <w:r>
        <w:rPr>
          <w:rStyle w:val="FootnoteReference"/>
        </w:rPr>
        <w:footnoteReference w:id="28"/>
      </w:r>
      <w:r>
        <w:t xml:space="preserve">  Regulatory Research Associates, </w:t>
      </w:r>
      <w:r>
        <w:lastRenderedPageBreak/>
        <w:t xml:space="preserve">Inc. also publishes a report for water ROEs, similar to </w:t>
      </w:r>
      <w:r w:rsidR="00E43307">
        <w:t xml:space="preserve">what </w:t>
      </w:r>
      <w:r>
        <w:t>Mr. Fairchild uses for his Risk</w:t>
      </w:r>
      <w:r w:rsidR="008E0D83">
        <w:t xml:space="preserve"> </w:t>
      </w:r>
      <w:r>
        <w:t>Premium Method.</w:t>
      </w:r>
      <w:r w:rsidR="0093286D">
        <w:rPr>
          <w:rStyle w:val="FootnoteReference"/>
        </w:rPr>
        <w:footnoteReference w:id="29"/>
      </w:r>
      <w:r>
        <w:t xml:space="preserve">  </w:t>
      </w:r>
    </w:p>
    <w:p w14:paraId="0C8718C8" w14:textId="77777777" w:rsidR="00605D7C" w:rsidRDefault="00605D7C" w:rsidP="00605D7C">
      <w:pPr>
        <w:widowControl/>
        <w:spacing w:line="240" w:lineRule="auto"/>
        <w:ind w:left="720" w:hanging="720"/>
        <w:contextualSpacing/>
        <w:jc w:val="both"/>
      </w:pPr>
    </w:p>
    <w:p w14:paraId="1D17D736" w14:textId="52504E4D" w:rsidR="00E17E5C" w:rsidRDefault="00E17E5C" w:rsidP="00204A6E">
      <w:pPr>
        <w:spacing w:line="480" w:lineRule="exact"/>
        <w:ind w:left="720" w:hanging="720"/>
        <w:contextualSpacing/>
        <w:jc w:val="both"/>
        <w:rPr>
          <w:b/>
          <w:bCs/>
        </w:rPr>
      </w:pPr>
      <w:r>
        <w:rPr>
          <w:b/>
          <w:bCs/>
        </w:rPr>
        <w:t>Q.</w:t>
      </w:r>
      <w:r>
        <w:rPr>
          <w:b/>
          <w:bCs/>
        </w:rPr>
        <w:tab/>
        <w:t>Do you agree that electric and gas companies are comparable companies to use as a barometer for the water utility industry?</w:t>
      </w:r>
    </w:p>
    <w:p w14:paraId="5E173D28" w14:textId="0292E999" w:rsidR="0093286D" w:rsidRDefault="00E17E5C" w:rsidP="00204A6E">
      <w:pPr>
        <w:spacing w:line="480" w:lineRule="exact"/>
        <w:ind w:left="720" w:hanging="720"/>
        <w:contextualSpacing/>
        <w:jc w:val="both"/>
      </w:pPr>
      <w:r>
        <w:t>A.</w:t>
      </w:r>
      <w:r>
        <w:tab/>
        <w:t xml:space="preserve">No.  While </w:t>
      </w:r>
      <w:r w:rsidR="00FD1BDB">
        <w:t>I am not aware of any</w:t>
      </w:r>
      <w:r>
        <w:t xml:space="preserve"> research papers that specifically examine the differences between the industries, I do not believe they are directly comparable.  For instance,</w:t>
      </w:r>
      <w:r w:rsidR="00ED7C1F">
        <w:t xml:space="preserve"> the</w:t>
      </w:r>
      <w:r>
        <w:t xml:space="preserve"> water</w:t>
      </w:r>
      <w:r w:rsidR="00ED7C1F">
        <w:t xml:space="preserve"> industry</w:t>
      </w:r>
      <w:r>
        <w:t xml:space="preserve"> has more regulations related to the quality of water from several different agencies.  This means that </w:t>
      </w:r>
      <w:r w:rsidR="00E43307">
        <w:t xml:space="preserve">water utilities </w:t>
      </w:r>
      <w:r>
        <w:t xml:space="preserve">are more likely to be able to recover plant expenses </w:t>
      </w:r>
      <w:r w:rsidR="00ED7C1F">
        <w:t xml:space="preserve">in rate cases </w:t>
      </w:r>
      <w:r>
        <w:t xml:space="preserve">because they are </w:t>
      </w:r>
      <w:r w:rsidR="00E43307">
        <w:t xml:space="preserve">required </w:t>
      </w:r>
      <w:r>
        <w:t xml:space="preserve">to remain compliant with agencies such as the Environmental Protection Agency and the Texas Commission on Environmental Quality.  </w:t>
      </w:r>
    </w:p>
    <w:p w14:paraId="6DD8B05E" w14:textId="37A75236" w:rsidR="00E17E5C" w:rsidRDefault="00FD1BDB" w:rsidP="00204A6E">
      <w:pPr>
        <w:spacing w:line="480" w:lineRule="exact"/>
        <w:ind w:left="720" w:firstLine="720"/>
        <w:contextualSpacing/>
        <w:jc w:val="both"/>
      </w:pPr>
      <w:r>
        <w:t xml:space="preserve">Also, </w:t>
      </w:r>
      <w:r w:rsidR="0093286D">
        <w:t xml:space="preserve">Mr. Fairchild’s RP </w:t>
      </w:r>
      <w:r w:rsidR="00E43307">
        <w:t xml:space="preserve">analysis </w:t>
      </w:r>
      <w:r w:rsidR="0093286D">
        <w:t>shows that for every one percent increase or decrease in interest rates, electric ROEs rise or fall by approximately one-half percent.</w:t>
      </w:r>
      <w:r w:rsidR="0093286D">
        <w:rPr>
          <w:rStyle w:val="FootnoteReference"/>
        </w:rPr>
        <w:footnoteReference w:id="30"/>
      </w:r>
      <w:r w:rsidR="0093286D">
        <w:t xml:space="preserve">  My analysis for water companies show that for every one percent, water ROEs rise or fall by approximately three-fourths </w:t>
      </w:r>
      <w:r w:rsidR="00E43307">
        <w:t xml:space="preserve">of one </w:t>
      </w:r>
      <w:r w:rsidR="0093286D">
        <w:t xml:space="preserve">percent.  This shows that </w:t>
      </w:r>
      <w:r w:rsidR="00E43307">
        <w:t xml:space="preserve">the </w:t>
      </w:r>
      <w:r w:rsidR="00ED7C1F">
        <w:t xml:space="preserve">results from a risk premium method using gas and electric utilities would not be directly comparable to results from using water utilities. </w:t>
      </w:r>
    </w:p>
    <w:p w14:paraId="40730FCA" w14:textId="35D34039" w:rsidR="00563E7C" w:rsidRDefault="0093286D" w:rsidP="00204A6E">
      <w:pPr>
        <w:spacing w:line="480" w:lineRule="exact"/>
        <w:contextualSpacing/>
      </w:pPr>
      <w:r>
        <w:rPr>
          <w:b/>
          <w:bCs/>
        </w:rPr>
        <w:tab/>
      </w:r>
    </w:p>
    <w:p w14:paraId="4D061AE1" w14:textId="0B5469FF" w:rsidR="00F909F5" w:rsidRPr="001E3ADD" w:rsidRDefault="00F909F5" w:rsidP="00204A6E">
      <w:pPr>
        <w:pStyle w:val="Heading1"/>
        <w:spacing w:line="480" w:lineRule="exact"/>
        <w:ind w:left="720" w:hanging="720"/>
        <w:contextualSpacing/>
        <w:jc w:val="both"/>
        <w:rPr>
          <w:szCs w:val="24"/>
        </w:rPr>
      </w:pPr>
      <w:bookmarkStart w:id="23" w:name="_Toc54606371"/>
      <w:r w:rsidRPr="001E3ADD">
        <w:rPr>
          <w:szCs w:val="24"/>
        </w:rPr>
        <w:t>SUMMARY</w:t>
      </w:r>
      <w:bookmarkEnd w:id="21"/>
      <w:bookmarkEnd w:id="23"/>
    </w:p>
    <w:p w14:paraId="7E421435" w14:textId="1433C47D" w:rsidR="00F909F5" w:rsidRPr="001E3ADD" w:rsidRDefault="00F909F5" w:rsidP="00204A6E">
      <w:pPr>
        <w:spacing w:line="480" w:lineRule="exact"/>
        <w:ind w:left="720" w:hanging="720"/>
        <w:contextualSpacing/>
        <w:jc w:val="both"/>
        <w:rPr>
          <w:b/>
        </w:rPr>
      </w:pPr>
      <w:r w:rsidRPr="001E3ADD">
        <w:rPr>
          <w:b/>
        </w:rPr>
        <w:t>Q.</w:t>
      </w:r>
      <w:r w:rsidRPr="001E3ADD">
        <w:rPr>
          <w:b/>
        </w:rPr>
        <w:tab/>
        <w:t>W</w:t>
      </w:r>
      <w:r w:rsidR="00730B02" w:rsidRPr="001E3ADD">
        <w:rPr>
          <w:b/>
        </w:rPr>
        <w:t xml:space="preserve">hat is </w:t>
      </w:r>
      <w:r w:rsidR="00A85B8B" w:rsidRPr="001E3ADD">
        <w:rPr>
          <w:b/>
        </w:rPr>
        <w:t>your</w:t>
      </w:r>
      <w:r w:rsidR="00730B02" w:rsidRPr="001E3ADD">
        <w:rPr>
          <w:b/>
        </w:rPr>
        <w:t xml:space="preserve"> recommended </w:t>
      </w:r>
      <w:r w:rsidR="00295C5C" w:rsidRPr="001E3ADD">
        <w:rPr>
          <w:b/>
        </w:rPr>
        <w:t>ROE</w:t>
      </w:r>
      <w:r w:rsidRPr="001E3ADD">
        <w:rPr>
          <w:b/>
        </w:rPr>
        <w:t>?</w:t>
      </w:r>
    </w:p>
    <w:p w14:paraId="1CF7CC80" w14:textId="27A06A2D" w:rsidR="00C84562" w:rsidRDefault="00F909F5" w:rsidP="00204A6E">
      <w:pPr>
        <w:spacing w:line="480" w:lineRule="exact"/>
        <w:ind w:left="720" w:hanging="720"/>
        <w:contextualSpacing/>
        <w:jc w:val="both"/>
      </w:pPr>
      <w:r w:rsidRPr="001E3ADD">
        <w:t>A.</w:t>
      </w:r>
      <w:r w:rsidRPr="001E3ADD">
        <w:tab/>
      </w:r>
      <w:r w:rsidR="00A85B8B" w:rsidRPr="001E3ADD">
        <w:t>I</w:t>
      </w:r>
      <w:r w:rsidRPr="001E3ADD">
        <w:t xml:space="preserve"> recommend a</w:t>
      </w:r>
      <w:r w:rsidR="00E43307">
        <w:t>n</w:t>
      </w:r>
      <w:r w:rsidRPr="001E3ADD">
        <w:t xml:space="preserve"> </w:t>
      </w:r>
      <w:r w:rsidR="00295C5C" w:rsidRPr="001E3ADD">
        <w:t>ROE</w:t>
      </w:r>
      <w:r w:rsidRPr="001E3ADD">
        <w:t xml:space="preserve"> of </w:t>
      </w:r>
      <w:r w:rsidR="001E3ADD" w:rsidRPr="001E3ADD">
        <w:t>8.50</w:t>
      </w:r>
      <w:r w:rsidR="00FC4B0A" w:rsidRPr="001E3ADD">
        <w:t>%</w:t>
      </w:r>
      <w:r w:rsidRPr="001E3ADD">
        <w:t>.</w:t>
      </w:r>
      <w:r w:rsidR="008D7ED7" w:rsidRPr="001E3ADD">
        <w:t xml:space="preserve">  As previously stated in my testimony, I arrived at this ROE primarily on</w:t>
      </w:r>
      <w:r w:rsidR="00E43307">
        <w:t xml:space="preserve"> the basis of</w:t>
      </w:r>
      <w:r w:rsidR="008D7ED7" w:rsidRPr="001E3ADD">
        <w:t xml:space="preserve"> the results of my single-stage DCF method.  I used the results from my multi-stage DCF and risk premium analyses as points of comparison to my single-stage </w:t>
      </w:r>
      <w:r w:rsidR="008D7ED7" w:rsidRPr="001E3ADD">
        <w:lastRenderedPageBreak/>
        <w:t>DCF results.</w:t>
      </w:r>
      <w:r w:rsidR="00405D21">
        <w:t xml:space="preserve">  If I had used </w:t>
      </w:r>
      <w:r w:rsidR="00E074FD">
        <w:t xml:space="preserve">all three </w:t>
      </w:r>
      <w:r w:rsidR="00405D21">
        <w:t>method</w:t>
      </w:r>
      <w:r w:rsidR="00E074FD">
        <w:t>s</w:t>
      </w:r>
      <w:r w:rsidR="00405D21">
        <w:t xml:space="preserve"> with equal weight, the result would have been an average ROE of 8.27%.</w:t>
      </w:r>
      <w:r w:rsidR="00E074FD">
        <w:t xml:space="preserve">  If I had used the combined DCF result and the Risk Premium with equal weight, the result would have been 8.55%.  These results show that </w:t>
      </w:r>
      <w:r w:rsidR="00BA53EC">
        <w:t>my</w:t>
      </w:r>
      <w:r w:rsidR="00A932AB">
        <w:t xml:space="preserve"> recommended ROE of </w:t>
      </w:r>
      <w:r w:rsidR="00E074FD">
        <w:t>8.50% ROE is reasonable.</w:t>
      </w:r>
    </w:p>
    <w:p w14:paraId="5016068E" w14:textId="77777777" w:rsidR="00944E19" w:rsidRDefault="00944E19" w:rsidP="00605D7C">
      <w:pPr>
        <w:spacing w:line="240" w:lineRule="auto"/>
        <w:ind w:left="720" w:hanging="720"/>
        <w:contextualSpacing/>
        <w:jc w:val="both"/>
      </w:pPr>
    </w:p>
    <w:p w14:paraId="64C973CD" w14:textId="03EF54C1" w:rsidR="00F909F5" w:rsidRPr="00405D21" w:rsidRDefault="00F909F5" w:rsidP="00204A6E">
      <w:pPr>
        <w:spacing w:line="480" w:lineRule="exact"/>
        <w:ind w:left="720" w:hanging="720"/>
        <w:contextualSpacing/>
        <w:jc w:val="both"/>
        <w:rPr>
          <w:b/>
        </w:rPr>
      </w:pPr>
      <w:r w:rsidRPr="00405D21">
        <w:rPr>
          <w:b/>
        </w:rPr>
        <w:t>Q.</w:t>
      </w:r>
      <w:r w:rsidRPr="00405D21">
        <w:rPr>
          <w:b/>
        </w:rPr>
        <w:tab/>
        <w:t>W</w:t>
      </w:r>
      <w:r w:rsidR="00730B02" w:rsidRPr="00405D21">
        <w:rPr>
          <w:b/>
        </w:rPr>
        <w:t xml:space="preserve">hat is </w:t>
      </w:r>
      <w:r w:rsidR="00A85B8B" w:rsidRPr="00405D21">
        <w:rPr>
          <w:b/>
        </w:rPr>
        <w:t>your</w:t>
      </w:r>
      <w:r w:rsidR="00730B02" w:rsidRPr="00405D21">
        <w:rPr>
          <w:b/>
        </w:rPr>
        <w:t xml:space="preserve"> overall recommended return</w:t>
      </w:r>
      <w:r w:rsidRPr="00405D21">
        <w:rPr>
          <w:b/>
        </w:rPr>
        <w:t>?</w:t>
      </w:r>
    </w:p>
    <w:p w14:paraId="309FED4C" w14:textId="08A89179" w:rsidR="008E0D83" w:rsidRDefault="00F909F5" w:rsidP="004375C8">
      <w:pPr>
        <w:spacing w:line="480" w:lineRule="exact"/>
        <w:ind w:left="720" w:hanging="720"/>
        <w:contextualSpacing/>
        <w:jc w:val="both"/>
      </w:pPr>
      <w:r w:rsidRPr="00405D21">
        <w:t>A.</w:t>
      </w:r>
      <w:r w:rsidRPr="00405D21">
        <w:tab/>
      </w:r>
      <w:r w:rsidR="00A85B8B" w:rsidRPr="00405D21">
        <w:t>I</w:t>
      </w:r>
      <w:r w:rsidRPr="00405D21">
        <w:t xml:space="preserve"> recommend an overall rate of return, to be</w:t>
      </w:r>
      <w:r w:rsidR="00FC4B0A" w:rsidRPr="00405D21">
        <w:t xml:space="preserve"> applied to rate base, of </w:t>
      </w:r>
      <w:r w:rsidR="00405D21">
        <w:t>7.43</w:t>
      </w:r>
      <w:r w:rsidRPr="00405D21">
        <w:t>%.</w:t>
      </w:r>
    </w:p>
    <w:p w14:paraId="45E190BE" w14:textId="77777777" w:rsidR="004375C8" w:rsidRDefault="004375C8" w:rsidP="00605D7C">
      <w:pPr>
        <w:spacing w:line="240" w:lineRule="auto"/>
        <w:ind w:left="720" w:hanging="720"/>
        <w:contextualSpacing/>
        <w:jc w:val="both"/>
      </w:pPr>
    </w:p>
    <w:p w14:paraId="1FA48A72" w14:textId="77777777" w:rsidR="00AF6D89" w:rsidRPr="00405D21" w:rsidRDefault="00AF6D89" w:rsidP="00204A6E">
      <w:pPr>
        <w:spacing w:line="480" w:lineRule="exact"/>
        <w:ind w:left="720" w:hanging="720"/>
        <w:contextualSpacing/>
        <w:jc w:val="both"/>
        <w:rPr>
          <w:b/>
        </w:rPr>
      </w:pPr>
      <w:r w:rsidRPr="00405D21">
        <w:rPr>
          <w:b/>
        </w:rPr>
        <w:t>Q.</w:t>
      </w:r>
      <w:r w:rsidRPr="00405D21">
        <w:rPr>
          <w:b/>
        </w:rPr>
        <w:tab/>
        <w:t>D</w:t>
      </w:r>
      <w:r w:rsidR="00730B02" w:rsidRPr="00405D21">
        <w:rPr>
          <w:b/>
        </w:rPr>
        <w:t>oes this conclude your direct testimony</w:t>
      </w:r>
      <w:r w:rsidRPr="00405D21">
        <w:rPr>
          <w:b/>
        </w:rPr>
        <w:t>?</w:t>
      </w:r>
    </w:p>
    <w:p w14:paraId="065FFA41" w14:textId="4979203F" w:rsidR="00856403" w:rsidRPr="00814A34" w:rsidRDefault="00AF6D89" w:rsidP="00204A6E">
      <w:pPr>
        <w:tabs>
          <w:tab w:val="left" w:pos="-1440"/>
        </w:tabs>
        <w:spacing w:line="480" w:lineRule="exact"/>
        <w:ind w:left="720" w:hanging="720"/>
        <w:contextualSpacing/>
        <w:jc w:val="both"/>
        <w:rPr>
          <w:rFonts w:eastAsia="PMingLiU"/>
        </w:rPr>
      </w:pPr>
      <w:r w:rsidRPr="00405D21">
        <w:t>A.</w:t>
      </w:r>
      <w:r w:rsidRPr="00405D21">
        <w:tab/>
        <w:t xml:space="preserve">Yes.  I </w:t>
      </w:r>
      <w:r w:rsidRPr="00405D21">
        <w:rPr>
          <w:rFonts w:eastAsia="PMingLiU"/>
        </w:rPr>
        <w:t xml:space="preserve">reserve the right to supplement this testimony during the course of the proceeding </w:t>
      </w:r>
      <w:r w:rsidR="00A932AB">
        <w:rPr>
          <w:rFonts w:eastAsia="PMingLiU"/>
        </w:rPr>
        <w:t>if</w:t>
      </w:r>
      <w:r w:rsidR="00A932AB" w:rsidRPr="00405D21">
        <w:rPr>
          <w:rFonts w:eastAsia="PMingLiU"/>
        </w:rPr>
        <w:t xml:space="preserve"> </w:t>
      </w:r>
      <w:r w:rsidRPr="00405D21">
        <w:rPr>
          <w:rFonts w:eastAsia="PMingLiU"/>
        </w:rPr>
        <w:t xml:space="preserve">new evidence </w:t>
      </w:r>
      <w:r w:rsidR="00E43307">
        <w:rPr>
          <w:rFonts w:eastAsia="PMingLiU"/>
        </w:rPr>
        <w:t>becomes available</w:t>
      </w:r>
      <w:r w:rsidRPr="00405D21">
        <w:rPr>
          <w:rFonts w:eastAsia="PMingLiU"/>
        </w:rPr>
        <w:t>.</w:t>
      </w:r>
      <w:r w:rsidRPr="00814A34">
        <w:rPr>
          <w:rFonts w:eastAsia="PMingLiU"/>
        </w:rPr>
        <w:tab/>
      </w:r>
    </w:p>
    <w:sectPr w:rsidR="00856403" w:rsidRPr="00814A34" w:rsidSect="00B973E1">
      <w:headerReference w:type="default" r:id="rId14"/>
      <w:headerReference w:type="first" r:id="rId15"/>
      <w:footerReference w:type="first" r:id="rId16"/>
      <w:pgSz w:w="12240" w:h="15840" w:code="1"/>
      <w:pgMar w:top="720" w:right="1267" w:bottom="720" w:left="1440" w:header="1440" w:footer="360" w:gutter="0"/>
      <w:lnNumType w:countBy="1"/>
      <w:pgNumType w:start="3"/>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709AF" w14:textId="77777777" w:rsidR="00CA7B81" w:rsidRDefault="00CA7B81" w:rsidP="00185866">
      <w:r>
        <w:separator/>
      </w:r>
    </w:p>
    <w:p w14:paraId="059B73FE" w14:textId="77777777" w:rsidR="00CA7B81" w:rsidRDefault="00CA7B81"/>
  </w:endnote>
  <w:endnote w:type="continuationSeparator" w:id="0">
    <w:p w14:paraId="7B6171DC" w14:textId="77777777" w:rsidR="00CA7B81" w:rsidRDefault="00CA7B81" w:rsidP="00185866">
      <w:r>
        <w:continuationSeparator/>
      </w:r>
    </w:p>
    <w:p w14:paraId="645A1049" w14:textId="77777777" w:rsidR="00CA7B81" w:rsidRDefault="00CA7B8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font>
  <w:font w:name="GDPFNT33-nn1-Courier_New">
    <w:panose1 w:val="00000000000000000000"/>
    <w:charset w:val="00"/>
    <w:family w:val="swiss"/>
    <w:notTrueType/>
    <w:pitch w:val="default"/>
    <w:sig w:usb0="00000003" w:usb1="00000000" w:usb2="00000000" w:usb3="00000000" w:csb0="00000001" w:csb1="00000000"/>
  </w:font>
  <w:font w:name="PMingLiU">
    <w:altName w:val="PMingLiU"/>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2B068" w14:textId="2B234A2C" w:rsidR="008F2C2F" w:rsidRDefault="008F2C2F" w:rsidP="008F2C2F">
    <w:pPr>
      <w:pBdr>
        <w:top w:val="single" w:sz="4" w:space="1" w:color="auto"/>
      </w:pBdr>
    </w:pPr>
    <w:r w:rsidRPr="00856403">
      <w:t>Direct Testimony of Emily Sears</w:t>
    </w:r>
    <w:r w:rsidRPr="00856403">
      <w:tab/>
    </w:r>
    <w:r w:rsidRPr="00856403">
      <w:tab/>
    </w:r>
    <w:r w:rsidRPr="00856403">
      <w:tab/>
    </w:r>
    <w:r w:rsidRPr="00856403">
      <w:tab/>
    </w:r>
    <w:r w:rsidRPr="00856403">
      <w:tab/>
    </w:r>
    <w:r w:rsidRPr="00856403">
      <w:tab/>
    </w:r>
    <w:r>
      <w:tab/>
    </w:r>
    <w:r>
      <w:tab/>
    </w:r>
    <w:r>
      <w:tab/>
    </w:r>
    <w:r>
      <w:tab/>
    </w:r>
    <w:r>
      <w:tab/>
    </w:r>
    <w:r>
      <w:tab/>
    </w:r>
    <w:r>
      <w:tab/>
    </w:r>
    <w:r>
      <w:tab/>
    </w:r>
    <w:r>
      <w:tab/>
    </w:r>
    <w:r>
      <w:tab/>
    </w:r>
    <w:r w:rsidRPr="00E839F1">
      <w:t xml:space="preserve">October </w:t>
    </w:r>
    <w:r>
      <w:t xml:space="preserve">27, </w:t>
    </w:r>
    <w:r w:rsidRPr="00E839F1">
      <w:t>2020</w:t>
    </w:r>
  </w:p>
  <w:p w14:paraId="03E13A80" w14:textId="77777777" w:rsidR="008F2C2F" w:rsidRPr="00A11646" w:rsidRDefault="008F2C2F" w:rsidP="008F2C2F">
    <w:pPr>
      <w:pBdr>
        <w:top w:val="single" w:sz="4" w:space="1" w:color="auto"/>
      </w:pBdr>
      <w:rPr>
        <w:color w:val="00B0F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D7148" w14:textId="1C0EF05D" w:rsidR="00DF66B7" w:rsidRDefault="00DF66B7" w:rsidP="008F2C2F">
    <w:pPr>
      <w:pBdr>
        <w:top w:val="single" w:sz="4" w:space="1" w:color="auto"/>
      </w:pBd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right" w:pos="9533"/>
      </w:tabs>
    </w:pPr>
    <w:r w:rsidRPr="00856403">
      <w:t>Direct Testimony of Emily Sears</w:t>
    </w:r>
    <w:r w:rsidRPr="00856403">
      <w:tab/>
    </w:r>
    <w:r w:rsidRPr="00856403">
      <w:tab/>
    </w:r>
    <w:r w:rsidRPr="00856403">
      <w:tab/>
    </w:r>
    <w:r w:rsidRPr="00856403">
      <w:tab/>
    </w:r>
    <w:r w:rsidRPr="00856403">
      <w:tab/>
    </w:r>
    <w:r w:rsidRPr="00856403">
      <w:tab/>
    </w:r>
    <w:r>
      <w:tab/>
    </w:r>
    <w:r>
      <w:tab/>
    </w:r>
    <w:r>
      <w:tab/>
    </w:r>
    <w:r>
      <w:tab/>
    </w:r>
    <w:r>
      <w:tab/>
    </w:r>
    <w:r>
      <w:tab/>
    </w:r>
    <w:r>
      <w:tab/>
    </w:r>
    <w:r>
      <w:tab/>
    </w:r>
    <w:r>
      <w:tab/>
    </w:r>
    <w:r>
      <w:tab/>
    </w:r>
    <w:r w:rsidRPr="00E839F1">
      <w:t xml:space="preserve">October </w:t>
    </w:r>
    <w:r>
      <w:t xml:space="preserve">27, </w:t>
    </w:r>
    <w:r w:rsidRPr="00E839F1">
      <w:t>2020</w:t>
    </w:r>
    <w:r w:rsidR="008F2C2F">
      <w:tab/>
    </w:r>
  </w:p>
  <w:p w14:paraId="0427EBEB" w14:textId="77777777" w:rsidR="008F2C2F" w:rsidRPr="00A11646" w:rsidRDefault="008F2C2F" w:rsidP="008F2C2F">
    <w:pPr>
      <w:pBdr>
        <w:top w:val="single" w:sz="4" w:space="1" w:color="auto"/>
      </w:pBdr>
      <w:tabs>
        <w:tab w:val="left" w:pos="288"/>
        <w:tab w:val="left" w:pos="576"/>
        <w:tab w:val="left" w:pos="864"/>
        <w:tab w:val="left" w:pos="1152"/>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right" w:pos="9533"/>
      </w:tabs>
      <w:rPr>
        <w:color w:val="00B0F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BA981C" w14:textId="77777777" w:rsidR="00CA7B81" w:rsidRDefault="00CA7B81" w:rsidP="006C1C01">
      <w:pPr>
        <w:spacing w:line="240" w:lineRule="auto"/>
      </w:pPr>
      <w:r>
        <w:separator/>
      </w:r>
    </w:p>
  </w:footnote>
  <w:footnote w:type="continuationSeparator" w:id="0">
    <w:p w14:paraId="14DCB779" w14:textId="77777777" w:rsidR="00CA7B81" w:rsidRDefault="00CA7B81" w:rsidP="006C1C01">
      <w:pPr>
        <w:spacing w:line="240" w:lineRule="auto"/>
      </w:pPr>
      <w:r>
        <w:continuationSeparator/>
      </w:r>
    </w:p>
  </w:footnote>
  <w:footnote w:id="1">
    <w:p w14:paraId="3DCB04AD" w14:textId="77777777" w:rsidR="00DF66B7" w:rsidRDefault="00DF66B7" w:rsidP="00376209">
      <w:pPr>
        <w:pStyle w:val="FootnoteText"/>
        <w:spacing w:after="120"/>
        <w:ind w:firstLine="720"/>
        <w:contextualSpacing w:val="0"/>
      </w:pPr>
      <w:r>
        <w:rPr>
          <w:rStyle w:val="FootnoteReference"/>
        </w:rPr>
        <w:footnoteRef/>
      </w:r>
      <w:r>
        <w:t xml:space="preserve"> </w:t>
      </w:r>
      <w:r w:rsidRPr="00533D7D">
        <w:rPr>
          <w:i/>
        </w:rPr>
        <w:t>Bluefield Water Works &amp; Im</w:t>
      </w:r>
      <w:r>
        <w:rPr>
          <w:i/>
        </w:rPr>
        <w:t>provement.</w:t>
      </w:r>
      <w:r w:rsidRPr="00533D7D">
        <w:rPr>
          <w:i/>
        </w:rPr>
        <w:t xml:space="preserve"> Co. v. Pub</w:t>
      </w:r>
      <w:r>
        <w:rPr>
          <w:i/>
        </w:rPr>
        <w:t>.</w:t>
      </w:r>
      <w:r w:rsidRPr="00533D7D">
        <w:rPr>
          <w:i/>
        </w:rPr>
        <w:t xml:space="preserve"> Serv</w:t>
      </w:r>
      <w:r>
        <w:rPr>
          <w:i/>
        </w:rPr>
        <w:t>.</w:t>
      </w:r>
      <w:r w:rsidRPr="00533D7D">
        <w:rPr>
          <w:i/>
        </w:rPr>
        <w:t xml:space="preserve"> Comm</w:t>
      </w:r>
      <w:r>
        <w:rPr>
          <w:i/>
        </w:rPr>
        <w:t>’</w:t>
      </w:r>
      <w:r w:rsidRPr="00533D7D">
        <w:rPr>
          <w:i/>
        </w:rPr>
        <w:t>n of W</w:t>
      </w:r>
      <w:r>
        <w:rPr>
          <w:i/>
        </w:rPr>
        <w:t>.</w:t>
      </w:r>
      <w:r w:rsidRPr="00533D7D">
        <w:rPr>
          <w:i/>
        </w:rPr>
        <w:t xml:space="preserve"> Va</w:t>
      </w:r>
      <w:r w:rsidRPr="006C6487">
        <w:t>.,</w:t>
      </w:r>
      <w:r w:rsidRPr="00533D7D">
        <w:rPr>
          <w:i/>
        </w:rPr>
        <w:t xml:space="preserve"> </w:t>
      </w:r>
      <w:r w:rsidRPr="00983D63">
        <w:t>262 U.S. 679, 683 (1923).</w:t>
      </w:r>
    </w:p>
  </w:footnote>
  <w:footnote w:id="2">
    <w:p w14:paraId="307F2855" w14:textId="77777777" w:rsidR="00DF66B7" w:rsidRDefault="00DF66B7" w:rsidP="00376209">
      <w:pPr>
        <w:pStyle w:val="FootnoteText"/>
        <w:spacing w:after="120"/>
        <w:ind w:firstLine="720"/>
        <w:contextualSpacing w:val="0"/>
      </w:pPr>
      <w:r>
        <w:rPr>
          <w:rStyle w:val="FootnoteReference"/>
        </w:rPr>
        <w:footnoteRef/>
      </w:r>
      <w:r>
        <w:t xml:space="preserve"> </w:t>
      </w:r>
      <w:r w:rsidRPr="006F4F12">
        <w:rPr>
          <w:i/>
          <w:szCs w:val="24"/>
        </w:rPr>
        <w:t>Fed. Power Comm’n v. Hope Nat. Gas Co.</w:t>
      </w:r>
      <w:r w:rsidRPr="006C6487">
        <w:rPr>
          <w:i/>
          <w:szCs w:val="24"/>
        </w:rPr>
        <w:t>,</w:t>
      </w:r>
      <w:r w:rsidRPr="006F4F12">
        <w:rPr>
          <w:szCs w:val="24"/>
        </w:rPr>
        <w:t xml:space="preserve"> 320 U.S. </w:t>
      </w:r>
      <w:r>
        <w:rPr>
          <w:szCs w:val="24"/>
        </w:rPr>
        <w:t>591</w:t>
      </w:r>
      <w:r w:rsidRPr="005F0CE7">
        <w:rPr>
          <w:szCs w:val="24"/>
        </w:rPr>
        <w:t xml:space="preserve">, </w:t>
      </w:r>
      <w:r w:rsidRPr="001C5B72">
        <w:rPr>
          <w:szCs w:val="24"/>
        </w:rPr>
        <w:t>604</w:t>
      </w:r>
      <w:r w:rsidRPr="006F4F12">
        <w:rPr>
          <w:szCs w:val="24"/>
        </w:rPr>
        <w:t xml:space="preserve"> (1944)</w:t>
      </w:r>
      <w:r>
        <w:rPr>
          <w:szCs w:val="24"/>
        </w:rPr>
        <w:t>.</w:t>
      </w:r>
    </w:p>
  </w:footnote>
  <w:footnote w:id="3">
    <w:p w14:paraId="166A7C9E" w14:textId="49D031A2" w:rsidR="00DF66B7" w:rsidRDefault="00DF66B7" w:rsidP="00580B86">
      <w:pPr>
        <w:pStyle w:val="FootnoteText"/>
        <w:ind w:left="432" w:firstLine="288"/>
      </w:pPr>
      <w:r>
        <w:rPr>
          <w:rStyle w:val="FootnoteReference"/>
        </w:rPr>
        <w:footnoteRef/>
      </w:r>
      <w:r>
        <w:t xml:space="preserve"> Application at 000846, Direct Testimony of Brian Bahr, Schedule II-B (July 15, 2020) (Bahr Direct).</w:t>
      </w:r>
    </w:p>
  </w:footnote>
  <w:footnote w:id="4">
    <w:p w14:paraId="2AB654E6" w14:textId="59ADC7A4" w:rsidR="00DF66B7" w:rsidRDefault="00DF66B7" w:rsidP="00BA53EC">
      <w:pPr>
        <w:pStyle w:val="FootnoteText"/>
        <w:spacing w:after="120"/>
        <w:ind w:left="720"/>
        <w:contextualSpacing w:val="0"/>
      </w:pPr>
      <w:r>
        <w:rPr>
          <w:rStyle w:val="FootnoteReference"/>
        </w:rPr>
        <w:footnoteRef/>
      </w:r>
      <w:r>
        <w:t xml:space="preserve"> Application at 001056, Direct Testimony of Victoria R. Shupak, Schedule II-E-3.5 (July 15, 2020) (Shupak Direct).</w:t>
      </w:r>
    </w:p>
  </w:footnote>
  <w:footnote w:id="5">
    <w:p w14:paraId="2435D269" w14:textId="4BF0802A" w:rsidR="00DF66B7" w:rsidRDefault="00DF66B7" w:rsidP="00BA53EC">
      <w:pPr>
        <w:pStyle w:val="FootnoteText"/>
        <w:spacing w:after="120"/>
        <w:ind w:left="720"/>
        <w:contextualSpacing w:val="0"/>
      </w:pPr>
      <w:r>
        <w:rPr>
          <w:rStyle w:val="FootnoteReference"/>
        </w:rPr>
        <w:footnoteRef/>
      </w:r>
      <w:r>
        <w:t xml:space="preserve"> Monarch’s Response to Commission Staff’s Third RFI at 8 (Oct. 7, 2020).</w:t>
      </w:r>
    </w:p>
  </w:footnote>
  <w:footnote w:id="6">
    <w:p w14:paraId="316E83B8" w14:textId="24549427" w:rsidR="00DF66B7" w:rsidRDefault="00DF66B7" w:rsidP="008F2C2F">
      <w:pPr>
        <w:pStyle w:val="FootnoteText"/>
        <w:spacing w:after="120"/>
        <w:ind w:left="432" w:firstLine="288"/>
        <w:contextualSpacing w:val="0"/>
      </w:pPr>
      <w:r>
        <w:rPr>
          <w:rStyle w:val="FootnoteReference"/>
        </w:rPr>
        <w:footnoteRef/>
      </w:r>
      <w:r>
        <w:t xml:space="preserve"> </w:t>
      </w:r>
      <w:r w:rsidRPr="00BA53EC">
        <w:rPr>
          <w:i/>
          <w:iCs/>
        </w:rPr>
        <w:t>Id.</w:t>
      </w:r>
      <w:r>
        <w:t xml:space="preserve"> at 5.</w:t>
      </w:r>
    </w:p>
  </w:footnote>
  <w:footnote w:id="7">
    <w:p w14:paraId="3292A921" w14:textId="55813736" w:rsidR="00DF66B7" w:rsidRDefault="00DF66B7" w:rsidP="008F2C2F">
      <w:pPr>
        <w:pStyle w:val="FootnoteText"/>
        <w:spacing w:after="120"/>
        <w:ind w:left="432" w:firstLine="288"/>
        <w:contextualSpacing w:val="0"/>
      </w:pPr>
      <w:r>
        <w:rPr>
          <w:rStyle w:val="FootnoteReference"/>
        </w:rPr>
        <w:footnoteRef/>
      </w:r>
      <w:r>
        <w:t xml:space="preserve"> Monarch’s Response to Commission Staff’s Third RFI, Attachment Staff 3-6 at 1-60 (Oct. 7, 2020). </w:t>
      </w:r>
    </w:p>
  </w:footnote>
  <w:footnote w:id="8">
    <w:p w14:paraId="0CBACB3C" w14:textId="38663093" w:rsidR="00DF66B7" w:rsidRDefault="00DF66B7" w:rsidP="00BA53EC">
      <w:pPr>
        <w:pStyle w:val="FootnoteText"/>
        <w:spacing w:after="120"/>
        <w:ind w:left="432" w:firstLine="288"/>
        <w:contextualSpacing w:val="0"/>
      </w:pPr>
      <w:r>
        <w:rPr>
          <w:rStyle w:val="FootnoteReference"/>
        </w:rPr>
        <w:footnoteRef/>
      </w:r>
      <w:r>
        <w:t xml:space="preserve"> </w:t>
      </w:r>
      <w:r w:rsidRPr="00533D7D">
        <w:rPr>
          <w:i/>
        </w:rPr>
        <w:t xml:space="preserve">Bluefield Water Works </w:t>
      </w:r>
      <w:r w:rsidRPr="00983D63">
        <w:t>262 U.S.</w:t>
      </w:r>
      <w:r>
        <w:t xml:space="preserve"> at </w:t>
      </w:r>
      <w:r w:rsidRPr="00983D63">
        <w:t>683.</w:t>
      </w:r>
    </w:p>
  </w:footnote>
  <w:footnote w:id="9">
    <w:p w14:paraId="1AD14460" w14:textId="1E05379A" w:rsidR="00DF66B7" w:rsidRDefault="00DF66B7" w:rsidP="00BA53EC">
      <w:pPr>
        <w:pStyle w:val="FootnoteText"/>
        <w:spacing w:after="120"/>
        <w:ind w:left="432" w:firstLine="288"/>
        <w:contextualSpacing w:val="0"/>
      </w:pPr>
      <w:r>
        <w:rPr>
          <w:rStyle w:val="FootnoteReference"/>
        </w:rPr>
        <w:footnoteRef/>
      </w:r>
      <w:r>
        <w:t xml:space="preserve"> </w:t>
      </w:r>
      <w:r w:rsidRPr="006F4F12">
        <w:rPr>
          <w:i/>
          <w:szCs w:val="24"/>
        </w:rPr>
        <w:t>Hope Nat. Gas Co.</w:t>
      </w:r>
      <w:r w:rsidRPr="006C6487">
        <w:rPr>
          <w:i/>
          <w:szCs w:val="24"/>
        </w:rPr>
        <w:t>,</w:t>
      </w:r>
      <w:r w:rsidRPr="006F4F12">
        <w:rPr>
          <w:szCs w:val="24"/>
        </w:rPr>
        <w:t xml:space="preserve"> 320 U.S. </w:t>
      </w:r>
      <w:r>
        <w:rPr>
          <w:szCs w:val="24"/>
        </w:rPr>
        <w:t xml:space="preserve">at </w:t>
      </w:r>
      <w:r w:rsidRPr="001C5B72">
        <w:rPr>
          <w:szCs w:val="24"/>
        </w:rPr>
        <w:t>604</w:t>
      </w:r>
      <w:r>
        <w:rPr>
          <w:szCs w:val="24"/>
        </w:rPr>
        <w:t>.</w:t>
      </w:r>
    </w:p>
  </w:footnote>
  <w:footnote w:id="10">
    <w:p w14:paraId="1A968BAD" w14:textId="6A475EEE" w:rsidR="00DF66B7" w:rsidRDefault="00DF66B7" w:rsidP="00BA53EC">
      <w:pPr>
        <w:pStyle w:val="FootnoteText"/>
        <w:spacing w:after="120"/>
        <w:ind w:left="720" w:hanging="720"/>
        <w:contextualSpacing w:val="0"/>
      </w:pPr>
      <w:r>
        <w:tab/>
      </w:r>
      <w:r>
        <w:rPr>
          <w:rStyle w:val="FootnoteReference"/>
        </w:rPr>
        <w:footnoteRef/>
      </w:r>
      <w:r>
        <w:t xml:space="preserve"> Application at 000584, Direct Testimony of Bruce Fairchild, Schedule BHF-1 (July 15, 2020) (Fairchild Direct).</w:t>
      </w:r>
    </w:p>
  </w:footnote>
  <w:footnote w:id="11">
    <w:p w14:paraId="28222388" w14:textId="49E76DF8" w:rsidR="00DF66B7" w:rsidRDefault="00DF66B7" w:rsidP="00BA53EC">
      <w:pPr>
        <w:pStyle w:val="FootnoteText"/>
        <w:spacing w:after="120"/>
        <w:ind w:left="720"/>
        <w:contextualSpacing w:val="0"/>
      </w:pPr>
      <w:r>
        <w:rPr>
          <w:rStyle w:val="FootnoteReference"/>
        </w:rPr>
        <w:footnoteRef/>
      </w:r>
      <w:r>
        <w:t xml:space="preserve"> Attachment ES-3.</w:t>
      </w:r>
    </w:p>
  </w:footnote>
  <w:footnote w:id="12">
    <w:p w14:paraId="2B2B5414" w14:textId="7D5608F8" w:rsidR="00DF66B7" w:rsidRDefault="00DF66B7" w:rsidP="00BA53EC">
      <w:pPr>
        <w:pStyle w:val="FootnoteText"/>
        <w:spacing w:after="120"/>
        <w:ind w:left="720"/>
        <w:contextualSpacing w:val="0"/>
      </w:pPr>
      <w:r>
        <w:rPr>
          <w:rStyle w:val="FootnoteReference"/>
        </w:rPr>
        <w:footnoteRef/>
      </w:r>
      <w:r>
        <w:t xml:space="preserve"> Application at 000537 - 000538, Fairchild Direct at 17-18.</w:t>
      </w:r>
    </w:p>
  </w:footnote>
  <w:footnote w:id="13">
    <w:p w14:paraId="0B113BED" w14:textId="68A30A0D" w:rsidR="00DF66B7" w:rsidRPr="00D67823" w:rsidRDefault="00DF66B7" w:rsidP="00BA53EC">
      <w:pPr>
        <w:pStyle w:val="FootnoteText"/>
        <w:spacing w:after="120"/>
        <w:ind w:left="720"/>
        <w:contextualSpacing w:val="0"/>
      </w:pPr>
      <w:r>
        <w:rPr>
          <w:rStyle w:val="FootnoteReference"/>
        </w:rPr>
        <w:footnoteRef/>
      </w:r>
      <w:r>
        <w:t xml:space="preserve"> </w:t>
      </w:r>
      <w:r w:rsidRPr="00D67823">
        <w:t>Attachment ES-</w:t>
      </w:r>
      <w:r>
        <w:t>4 at 2</w:t>
      </w:r>
      <w:r w:rsidRPr="00D67823">
        <w:t>.</w:t>
      </w:r>
    </w:p>
  </w:footnote>
  <w:footnote w:id="14">
    <w:p w14:paraId="07D0DFED" w14:textId="6B1FBC8F" w:rsidR="00DF66B7" w:rsidRDefault="00DF66B7" w:rsidP="00BA53EC">
      <w:pPr>
        <w:pStyle w:val="FootnoteText"/>
        <w:spacing w:after="120"/>
        <w:ind w:left="720"/>
        <w:contextualSpacing w:val="0"/>
      </w:pPr>
      <w:r>
        <w:rPr>
          <w:rStyle w:val="FootnoteReference"/>
        </w:rPr>
        <w:footnoteRef/>
      </w:r>
      <w:r>
        <w:t xml:space="preserve"> Application at 000537 - 000538, Fairchild Direct, Schedule BHF-3.</w:t>
      </w:r>
    </w:p>
  </w:footnote>
  <w:footnote w:id="15">
    <w:p w14:paraId="03AF6110" w14:textId="0DB9B783" w:rsidR="00DF66B7" w:rsidRDefault="00DF66B7" w:rsidP="00BA53EC">
      <w:pPr>
        <w:pStyle w:val="FootnoteText"/>
        <w:spacing w:after="120"/>
        <w:ind w:left="720"/>
        <w:contextualSpacing w:val="0"/>
      </w:pPr>
      <w:r>
        <w:rPr>
          <w:rStyle w:val="FootnoteReference"/>
        </w:rPr>
        <w:footnoteRef/>
      </w:r>
      <w:r>
        <w:t xml:space="preserve"> Attachment ES-3 at 2.</w:t>
      </w:r>
    </w:p>
  </w:footnote>
  <w:footnote w:id="16">
    <w:p w14:paraId="003074FC" w14:textId="694CF245" w:rsidR="00DF66B7" w:rsidRDefault="00DF66B7" w:rsidP="00580B86">
      <w:pPr>
        <w:pStyle w:val="FootnoteText"/>
        <w:ind w:left="720"/>
      </w:pPr>
      <w:r>
        <w:rPr>
          <w:rStyle w:val="FootnoteReference"/>
        </w:rPr>
        <w:footnoteRef/>
      </w:r>
      <w:r>
        <w:t xml:space="preserve"> Attachment ES-6.</w:t>
      </w:r>
    </w:p>
  </w:footnote>
  <w:footnote w:id="17">
    <w:p w14:paraId="1EC85B89" w14:textId="620DB12C" w:rsidR="00DF66B7" w:rsidRPr="00CA4067" w:rsidRDefault="00DF66B7" w:rsidP="00BA53EC">
      <w:pPr>
        <w:pStyle w:val="FootnoteText"/>
        <w:spacing w:after="120"/>
        <w:ind w:firstLine="720"/>
        <w:contextualSpacing w:val="0"/>
        <w:jc w:val="both"/>
        <w:rPr>
          <w:highlight w:val="yellow"/>
        </w:rPr>
      </w:pPr>
      <w:r w:rsidRPr="00EC11EC">
        <w:rPr>
          <w:rStyle w:val="FootnoteReference"/>
        </w:rPr>
        <w:footnoteRef/>
      </w:r>
      <w:r w:rsidRPr="00EC11EC">
        <w:t xml:space="preserve"> </w:t>
      </w:r>
      <w:r w:rsidRPr="00BF67C1">
        <w:t>U.S. Bureau of Economic Analysis, Real Gross Domestic Product [A191RL1Q225SBEA], retrieved from FRED, Federal Reserve Bank of St. Louis; https://fred.stlouisfed.or</w:t>
      </w:r>
      <w:r>
        <w:t>g/series/A191RL1Q225SBEA, October 12, 2020</w:t>
      </w:r>
      <w:r w:rsidRPr="00BF67C1">
        <w:t>.</w:t>
      </w:r>
    </w:p>
  </w:footnote>
  <w:footnote w:id="18">
    <w:p w14:paraId="076C4E5F" w14:textId="6A8780BE" w:rsidR="00DF66B7" w:rsidRPr="00A95E26" w:rsidRDefault="00DF66B7" w:rsidP="00BA53EC">
      <w:pPr>
        <w:pStyle w:val="FootnoteText"/>
        <w:spacing w:after="120"/>
        <w:ind w:firstLine="720"/>
        <w:contextualSpacing w:val="0"/>
      </w:pPr>
      <w:r w:rsidRPr="00E706EA">
        <w:rPr>
          <w:rStyle w:val="FootnoteReference"/>
        </w:rPr>
        <w:footnoteRef/>
      </w:r>
      <w:r w:rsidRPr="00E706EA">
        <w:t xml:space="preserve"> </w:t>
      </w:r>
      <w:r>
        <w:rPr>
          <w:i/>
          <w:iCs/>
        </w:rPr>
        <w:t>Mo</w:t>
      </w:r>
      <w:r w:rsidRPr="00E706EA">
        <w:rPr>
          <w:i/>
        </w:rPr>
        <w:t>netary Policy Report</w:t>
      </w:r>
      <w:r>
        <w:rPr>
          <w:i/>
        </w:rPr>
        <w:t xml:space="preserve"> </w:t>
      </w:r>
      <w:r>
        <w:rPr>
          <w:iCs/>
        </w:rPr>
        <w:t>submitted to Congress on June 12, 2020, pursuant to section 2B of the Federal Reserve Act</w:t>
      </w:r>
      <w:r w:rsidRPr="00E706EA">
        <w:t>.</w:t>
      </w:r>
    </w:p>
  </w:footnote>
  <w:footnote w:id="19">
    <w:p w14:paraId="49C6861D" w14:textId="72B942D5" w:rsidR="00DF66B7" w:rsidRDefault="00DF66B7" w:rsidP="00BA53EC">
      <w:pPr>
        <w:pStyle w:val="FootnoteText"/>
        <w:spacing w:after="120"/>
        <w:ind w:firstLine="720"/>
        <w:contextualSpacing w:val="0"/>
      </w:pPr>
      <w:r>
        <w:rPr>
          <w:rStyle w:val="FootnoteReference"/>
        </w:rPr>
        <w:footnoteRef/>
      </w:r>
      <w:r>
        <w:t xml:space="preserve"> Application at 000554, 000559; Fairchild Direct at 33, 38.</w:t>
      </w:r>
    </w:p>
  </w:footnote>
  <w:footnote w:id="20">
    <w:p w14:paraId="25C6FDFA" w14:textId="27F43D18" w:rsidR="00DF66B7" w:rsidRDefault="00DF66B7" w:rsidP="00BA53EC">
      <w:pPr>
        <w:pStyle w:val="FootnoteText"/>
        <w:spacing w:after="120"/>
        <w:ind w:firstLine="720"/>
        <w:contextualSpacing w:val="0"/>
      </w:pPr>
      <w:r>
        <w:rPr>
          <w:rStyle w:val="FootnoteReference"/>
        </w:rPr>
        <w:footnoteRef/>
      </w:r>
      <w:r>
        <w:t xml:space="preserve"> </w:t>
      </w:r>
      <w:r w:rsidRPr="00857531">
        <w:rPr>
          <w:i/>
        </w:rPr>
        <w:t>Application of Double Diamond Utility Co., Inc, for a Rate/Tariff Change</w:t>
      </w:r>
      <w:r>
        <w:t xml:space="preserve">, Docket No. 46245, Order on Rehearing at 0000061 (December 12, 2019). </w:t>
      </w:r>
    </w:p>
  </w:footnote>
  <w:footnote w:id="21">
    <w:p w14:paraId="5E0A30AB" w14:textId="534A79D8" w:rsidR="00DF66B7" w:rsidRDefault="00DF66B7" w:rsidP="00BA53EC">
      <w:pPr>
        <w:pStyle w:val="FootnoteText"/>
        <w:spacing w:after="120"/>
        <w:ind w:firstLine="720"/>
        <w:contextualSpacing w:val="0"/>
      </w:pPr>
      <w:r>
        <w:rPr>
          <w:rStyle w:val="FootnoteReference"/>
        </w:rPr>
        <w:footnoteRef/>
      </w:r>
      <w:r>
        <w:t xml:space="preserve">  </w:t>
      </w:r>
      <w:r w:rsidRPr="00BA53EC">
        <w:rPr>
          <w:i/>
          <w:iCs/>
        </w:rPr>
        <w:t>Id.</w:t>
      </w:r>
      <w:r>
        <w:t xml:space="preserve"> at 0000038.</w:t>
      </w:r>
    </w:p>
  </w:footnote>
  <w:footnote w:id="22">
    <w:p w14:paraId="47F9E996" w14:textId="30A70B52" w:rsidR="00DF66B7" w:rsidRDefault="00DF66B7" w:rsidP="00580B86">
      <w:pPr>
        <w:pStyle w:val="FootnoteText"/>
        <w:ind w:firstLine="720"/>
      </w:pPr>
      <w:r>
        <w:rPr>
          <w:rStyle w:val="FootnoteReference"/>
        </w:rPr>
        <w:footnoteRef/>
      </w:r>
      <w:r>
        <w:t xml:space="preserve"> Wallace Davidson III, Kenneth Ferris, and William Reichenstein, </w:t>
      </w:r>
      <w:r>
        <w:rPr>
          <w:u w:val="single"/>
        </w:rPr>
        <w:t>A Note on the Relationship Between Firm Size and Return in the Electric Utility Industry</w:t>
      </w:r>
      <w:r>
        <w:t xml:space="preserve">, </w:t>
      </w:r>
      <w:r>
        <w:rPr>
          <w:i/>
        </w:rPr>
        <w:t xml:space="preserve">Journal of Accounting, Auditing, and Finance </w:t>
      </w:r>
      <w:r>
        <w:t>Vol. 8, Issue 3 (Summer 1993).</w:t>
      </w:r>
    </w:p>
  </w:footnote>
  <w:footnote w:id="23">
    <w:p w14:paraId="5982F4AF" w14:textId="67D8D9FF" w:rsidR="00DF66B7" w:rsidRDefault="00DF66B7" w:rsidP="00903B35">
      <w:pPr>
        <w:pStyle w:val="FootnoteText"/>
        <w:spacing w:after="120"/>
        <w:ind w:firstLine="720"/>
        <w:contextualSpacing w:val="0"/>
      </w:pPr>
      <w:r>
        <w:rPr>
          <w:rStyle w:val="FootnoteReference"/>
        </w:rPr>
        <w:footnoteRef/>
      </w:r>
      <w:r>
        <w:rPr>
          <w:vertAlign w:val="superscript"/>
        </w:rPr>
        <w:t xml:space="preserve"> </w:t>
      </w:r>
      <w:r>
        <w:t xml:space="preserve">Annie Wong, </w:t>
      </w:r>
      <w:r>
        <w:rPr>
          <w:u w:val="single"/>
        </w:rPr>
        <w:t>Utility Stocks and the Size Effect: An Empirical Analysis</w:t>
      </w:r>
      <w:r>
        <w:t xml:space="preserve">, </w:t>
      </w:r>
      <w:r>
        <w:rPr>
          <w:i/>
        </w:rPr>
        <w:t xml:space="preserve">Journal of the Midwest Finance Association </w:t>
      </w:r>
      <w:r w:rsidRPr="00903B35">
        <w:rPr>
          <w:iCs/>
        </w:rPr>
        <w:t>98</w:t>
      </w:r>
      <w:r>
        <w:rPr>
          <w:i/>
        </w:rPr>
        <w:t xml:space="preserve"> </w:t>
      </w:r>
      <w:r>
        <w:t>(1993).</w:t>
      </w:r>
    </w:p>
  </w:footnote>
  <w:footnote w:id="24">
    <w:p w14:paraId="3C0DD498" w14:textId="35314B4D" w:rsidR="00DF66B7" w:rsidRDefault="00DF66B7" w:rsidP="00903B35">
      <w:pPr>
        <w:pStyle w:val="FootnoteText"/>
        <w:spacing w:after="120"/>
        <w:ind w:firstLine="720"/>
        <w:contextualSpacing w:val="0"/>
      </w:pPr>
      <w:r>
        <w:rPr>
          <w:rStyle w:val="FootnoteReference"/>
        </w:rPr>
        <w:footnoteRef/>
      </w:r>
      <w:r>
        <w:t xml:space="preserve"> Application at 000553, Fairchild Direct at 32.</w:t>
      </w:r>
    </w:p>
  </w:footnote>
  <w:footnote w:id="25">
    <w:p w14:paraId="59D93973" w14:textId="4526F4FE" w:rsidR="00DF66B7" w:rsidRDefault="00DF66B7" w:rsidP="00903B35">
      <w:pPr>
        <w:pStyle w:val="FootnoteText"/>
        <w:spacing w:after="120"/>
        <w:ind w:firstLine="720"/>
        <w:contextualSpacing w:val="0"/>
      </w:pPr>
      <w:r>
        <w:rPr>
          <w:rStyle w:val="FootnoteReference"/>
        </w:rPr>
        <w:footnoteRef/>
      </w:r>
      <w:r>
        <w:t xml:space="preserve"> Application at 000560, Fairchild Direct at 39.</w:t>
      </w:r>
    </w:p>
  </w:footnote>
  <w:footnote w:id="26">
    <w:p w14:paraId="0C294704" w14:textId="5E892256" w:rsidR="00DF66B7" w:rsidRDefault="00DF66B7" w:rsidP="00903B35">
      <w:pPr>
        <w:pStyle w:val="FootnoteText"/>
        <w:spacing w:after="120"/>
        <w:ind w:firstLine="720"/>
        <w:contextualSpacing w:val="0"/>
      </w:pPr>
      <w:r>
        <w:rPr>
          <w:rStyle w:val="FootnoteReference"/>
        </w:rPr>
        <w:footnoteRef/>
      </w:r>
      <w:r>
        <w:t xml:space="preserve"> E</w:t>
      </w:r>
      <w:r w:rsidRPr="00822EBE">
        <w:t xml:space="preserve">S Workpapers </w:t>
      </w:r>
      <w:r>
        <w:t xml:space="preserve">at 67. </w:t>
      </w:r>
    </w:p>
  </w:footnote>
  <w:footnote w:id="27">
    <w:p w14:paraId="506FDEB7" w14:textId="5FF984E4" w:rsidR="00DF66B7" w:rsidRDefault="00DF66B7" w:rsidP="00903B35">
      <w:pPr>
        <w:pStyle w:val="FootnoteText"/>
        <w:spacing w:after="120"/>
        <w:ind w:firstLine="720"/>
        <w:contextualSpacing w:val="0"/>
      </w:pPr>
      <w:r>
        <w:rPr>
          <w:rStyle w:val="FootnoteReference"/>
        </w:rPr>
        <w:footnoteRef/>
      </w:r>
      <w:r>
        <w:t xml:space="preserve"> Application at 000560, Fairchild Direct at 39.</w:t>
      </w:r>
    </w:p>
  </w:footnote>
  <w:footnote w:id="28">
    <w:p w14:paraId="3852C97C" w14:textId="360C3BF3" w:rsidR="00DF66B7" w:rsidRDefault="00DF66B7" w:rsidP="00903B35">
      <w:pPr>
        <w:pStyle w:val="FootnoteText"/>
        <w:spacing w:after="120"/>
        <w:ind w:firstLine="720"/>
        <w:contextualSpacing w:val="0"/>
      </w:pPr>
      <w:r>
        <w:rPr>
          <w:rStyle w:val="FootnoteReference"/>
        </w:rPr>
        <w:footnoteRef/>
      </w:r>
      <w:r>
        <w:t xml:space="preserve"> </w:t>
      </w:r>
      <w:r w:rsidRPr="00822EBE">
        <w:t xml:space="preserve">ES Workpapers </w:t>
      </w:r>
      <w:r>
        <w:t xml:space="preserve">at </w:t>
      </w:r>
      <w:r w:rsidRPr="00822EBE">
        <w:t>68-70.</w:t>
      </w:r>
    </w:p>
  </w:footnote>
  <w:footnote w:id="29">
    <w:p w14:paraId="66155DE1" w14:textId="402BE807" w:rsidR="00DF66B7" w:rsidRDefault="00DF66B7" w:rsidP="00903B35">
      <w:pPr>
        <w:pStyle w:val="FootnoteText"/>
        <w:spacing w:after="120"/>
        <w:ind w:firstLine="720"/>
        <w:contextualSpacing w:val="0"/>
      </w:pPr>
      <w:r>
        <w:rPr>
          <w:rStyle w:val="FootnoteReference"/>
        </w:rPr>
        <w:footnoteRef/>
      </w:r>
      <w:r>
        <w:t xml:space="preserve"> ES Workpaper at 71-74.</w:t>
      </w:r>
    </w:p>
  </w:footnote>
  <w:footnote w:id="30">
    <w:p w14:paraId="54F5832F" w14:textId="1695258F" w:rsidR="00DF66B7" w:rsidRDefault="00DF66B7" w:rsidP="00F907FB">
      <w:pPr>
        <w:pStyle w:val="FootnoteText"/>
        <w:ind w:firstLine="720"/>
      </w:pPr>
      <w:r>
        <w:rPr>
          <w:rStyle w:val="FootnoteReference"/>
        </w:rPr>
        <w:footnoteRef/>
      </w:r>
      <w:r>
        <w:t xml:space="preserve"> Application at 000563, Fairchild Direct at 42.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764738" w14:textId="77777777" w:rsidR="00DF66B7" w:rsidRPr="0072041A" w:rsidRDefault="00DF66B7">
    <w:pPr>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473-14-0366</w:t>
    </w:r>
    <w:r w:rsidRPr="0072041A">
      <w:rPr>
        <w:rFonts w:ascii="Georgia" w:hAnsi="Georgia"/>
        <w:b/>
        <w:bCs/>
        <w:sz w:val="18"/>
        <w:szCs w:val="18"/>
      </w:rPr>
      <w:tab/>
    </w:r>
  </w:p>
  <w:p w14:paraId="3D971911" w14:textId="77777777" w:rsidR="00DF66B7" w:rsidRPr="0072041A" w:rsidRDefault="00DF66B7" w:rsidP="002F59DF">
    <w:pPr>
      <w:pBdr>
        <w:bottom w:val="single" w:sz="4" w:space="1" w:color="auto"/>
      </w:pBdr>
      <w:rPr>
        <w:sz w:val="18"/>
        <w:szCs w:val="18"/>
      </w:rPr>
    </w:pPr>
    <w:r w:rsidRPr="0072041A">
      <w:rPr>
        <w:rFonts w:ascii="Georgia" w:hAnsi="Georgia" w:cs="GDPFNT33-nn1-Courier_New"/>
        <w:b/>
        <w:sz w:val="18"/>
        <w:szCs w:val="18"/>
      </w:rPr>
      <w:t>PUC DOCKET NO. 42858</w:t>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r>
    <w:r w:rsidRPr="0072041A">
      <w:rPr>
        <w:rFonts w:ascii="Georgia" w:hAnsi="Georgia" w:cs="GDPFNT33-nn1-Courier_New"/>
        <w:b/>
        <w:sz w:val="18"/>
        <w:szCs w:val="18"/>
      </w:rPr>
      <w:tab/>
      <w:t xml:space="preserve">           </w:t>
    </w:r>
    <w:r w:rsidRPr="0072041A">
      <w:rPr>
        <w:rFonts w:ascii="Georgia" w:hAnsi="Georgia"/>
        <w:b/>
        <w:bCs/>
        <w:sz w:val="18"/>
        <w:szCs w:val="18"/>
      </w:rPr>
      <w:t xml:space="preserve">Page </w:t>
    </w:r>
    <w:r w:rsidRPr="0072041A">
      <w:rPr>
        <w:rStyle w:val="PageNumber"/>
        <w:rFonts w:ascii="Georgia" w:hAnsi="Georgia"/>
        <w:b/>
        <w:sz w:val="18"/>
        <w:szCs w:val="18"/>
      </w:rPr>
      <w:fldChar w:fldCharType="begin"/>
    </w:r>
    <w:r w:rsidRPr="0072041A">
      <w:rPr>
        <w:rStyle w:val="PageNumber"/>
        <w:rFonts w:ascii="Georgia" w:hAnsi="Georgia"/>
        <w:b/>
        <w:sz w:val="18"/>
        <w:szCs w:val="18"/>
      </w:rPr>
      <w:instrText xml:space="preserve"> PAGE </w:instrText>
    </w:r>
    <w:r w:rsidRPr="0072041A">
      <w:rPr>
        <w:rStyle w:val="PageNumber"/>
        <w:rFonts w:ascii="Georgia" w:hAnsi="Georgia"/>
        <w:b/>
        <w:sz w:val="18"/>
        <w:szCs w:val="18"/>
      </w:rPr>
      <w:fldChar w:fldCharType="separate"/>
    </w:r>
    <w:r>
      <w:rPr>
        <w:rStyle w:val="PageNumber"/>
        <w:rFonts w:ascii="Georgia" w:hAnsi="Georgia"/>
        <w:b/>
        <w:noProof/>
        <w:sz w:val="18"/>
        <w:szCs w:val="18"/>
      </w:rPr>
      <w:t>12</w:t>
    </w:r>
    <w:r w:rsidRPr="0072041A">
      <w:rPr>
        <w:rStyle w:val="PageNumber"/>
        <w:rFonts w:ascii="Georgia" w:hAnsi="Georgia"/>
        <w:b/>
        <w:sz w:val="18"/>
        <w:szCs w:val="18"/>
      </w:rPr>
      <w:fldChar w:fldCharType="end"/>
    </w:r>
    <w:r w:rsidRPr="0072041A">
      <w:rPr>
        <w:rFonts w:ascii="Georgia" w:hAnsi="Georgia"/>
        <w:b/>
        <w:bCs/>
        <w:sz w:val="18"/>
        <w:szCs w:val="18"/>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1ECC9" w14:textId="77777777" w:rsidR="00DF66B7" w:rsidRPr="0072041A" w:rsidRDefault="00DF66B7" w:rsidP="00623116">
    <w:pPr>
      <w:pageBreakBefore/>
      <w:tabs>
        <w:tab w:val="right" w:pos="9360"/>
      </w:tabs>
      <w:rPr>
        <w:rFonts w:ascii="Georgia" w:hAnsi="Georgia"/>
        <w:b/>
        <w:bCs/>
        <w:sz w:val="18"/>
        <w:szCs w:val="18"/>
      </w:rPr>
    </w:pPr>
    <w:r w:rsidRPr="0072041A">
      <w:rPr>
        <w:rFonts w:ascii="Georgia" w:hAnsi="Georgia"/>
        <w:b/>
        <w:bCs/>
        <w:sz w:val="18"/>
        <w:szCs w:val="18"/>
      </w:rPr>
      <w:t xml:space="preserve">SOAH Docket No. </w:t>
    </w:r>
    <w:r w:rsidRPr="0072041A">
      <w:rPr>
        <w:rFonts w:ascii="Georgia" w:hAnsi="Georgia" w:cs="GDPFNT33-nn1-Courier_New"/>
        <w:b/>
        <w:sz w:val="18"/>
        <w:szCs w:val="18"/>
      </w:rPr>
      <w:t>473-14-</w:t>
    </w:r>
    <w:r>
      <w:rPr>
        <w:rFonts w:ascii="Georgia" w:hAnsi="Georgia" w:cs="GDPFNT33-nn1-Courier_New"/>
        <w:b/>
        <w:sz w:val="18"/>
        <w:szCs w:val="18"/>
      </w:rPr>
      <w:t>5138</w:t>
    </w:r>
  </w:p>
  <w:p w14:paraId="5485C6FE" w14:textId="77777777" w:rsidR="00DF66B7" w:rsidRPr="0072041A" w:rsidRDefault="00DF66B7" w:rsidP="002F59DF">
    <w:pPr>
      <w:pBdr>
        <w:bottom w:val="single" w:sz="4" w:space="1" w:color="auto"/>
      </w:pBdr>
      <w:rPr>
        <w:sz w:val="18"/>
        <w:szCs w:val="18"/>
      </w:rPr>
    </w:pPr>
    <w:r w:rsidRPr="0072041A">
      <w:rPr>
        <w:rFonts w:ascii="Georgia" w:hAnsi="Georgia" w:cs="GDPFNT33-nn1-Courier_New"/>
        <w:b/>
        <w:sz w:val="18"/>
        <w:szCs w:val="18"/>
      </w:rPr>
      <w:t>PUC DOCKET NO. 4285</w:t>
    </w:r>
    <w:r>
      <w:rPr>
        <w:rFonts w:ascii="Georgia" w:hAnsi="Georgia" w:cs="GDPFNT33-nn1-Courier_New"/>
        <w:b/>
        <w:sz w:val="18"/>
        <w:szCs w:val="18"/>
      </w:rPr>
      <w:t>7, 42867</w:t>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sidRPr="0072041A">
      <w:rPr>
        <w:rFonts w:ascii="Georgia" w:hAnsi="Georgia"/>
        <w:b/>
        <w:bCs/>
        <w:sz w:val="18"/>
        <w:szCs w:val="18"/>
      </w:rPr>
      <w:t>Page</w:t>
    </w:r>
    <w:r>
      <w:rPr>
        <w:rFonts w:ascii="Georgia" w:hAnsi="Georgia"/>
        <w:b/>
        <w:bCs/>
        <w:sz w:val="18"/>
        <w:szCs w:val="18"/>
      </w:rPr>
      <w:t xml:space="preserve"> ii</w:t>
    </w:r>
    <w:r>
      <w:rPr>
        <w:rFonts w:ascii="Georgia" w:hAnsi="Georgia" w:cs="GDPFNT33-nn1-Courier_New"/>
        <w:b/>
        <w:sz w:val="18"/>
        <w:szCs w:val="18"/>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0CF304" w14:textId="77777777" w:rsidR="00DF66B7" w:rsidRPr="009E72B7" w:rsidRDefault="00DF66B7" w:rsidP="009E72B7">
    <w:pPr>
      <w:pageBreakBefore/>
      <w:tabs>
        <w:tab w:val="right" w:pos="9360"/>
      </w:tabs>
      <w:spacing w:line="240" w:lineRule="auto"/>
      <w:jc w:val="both"/>
      <w:rPr>
        <w:b/>
        <w:bCs/>
        <w:sz w:val="20"/>
        <w:szCs w:val="20"/>
      </w:rPr>
    </w:pPr>
    <w:r w:rsidRPr="009E72B7">
      <w:rPr>
        <w:b/>
        <w:bCs/>
        <w:sz w:val="20"/>
        <w:szCs w:val="20"/>
      </w:rPr>
      <w:t xml:space="preserve">SOAH Docket No. </w:t>
    </w:r>
    <w:r>
      <w:rPr>
        <w:b/>
        <w:sz w:val="20"/>
        <w:szCs w:val="20"/>
      </w:rPr>
      <w:t>473-18-1959.WS</w:t>
    </w:r>
    <w:r>
      <w:rPr>
        <w:b/>
        <w:sz w:val="20"/>
        <w:szCs w:val="20"/>
      </w:rPr>
      <w:tab/>
    </w:r>
  </w:p>
  <w:p w14:paraId="5FD3DEDB" w14:textId="77777777" w:rsidR="00DF66B7" w:rsidRDefault="00DF66B7" w:rsidP="009E72B7">
    <w:pPr>
      <w:pBdr>
        <w:bottom w:val="single" w:sz="4" w:space="1" w:color="auto"/>
      </w:pBdr>
      <w:spacing w:line="240" w:lineRule="auto"/>
      <w:jc w:val="both"/>
      <w:rPr>
        <w:rFonts w:ascii="Georgia" w:hAnsi="Georgia" w:cs="GDPFNT33-nn1-Courier_New"/>
        <w:b/>
        <w:sz w:val="18"/>
        <w:szCs w:val="18"/>
      </w:rPr>
    </w:pPr>
    <w:r w:rsidRPr="009E72B7">
      <w:rPr>
        <w:b/>
        <w:sz w:val="20"/>
        <w:szCs w:val="20"/>
      </w:rPr>
      <w:t xml:space="preserve">PUC DOCKET NO. </w:t>
    </w:r>
    <w:r>
      <w:rPr>
        <w:b/>
        <w:sz w:val="20"/>
        <w:szCs w:val="20"/>
      </w:rPr>
      <w:t>47736</w:t>
    </w:r>
  </w:p>
  <w:p w14:paraId="5E1961CE" w14:textId="77777777" w:rsidR="00DF66B7" w:rsidRPr="0072041A" w:rsidRDefault="00DF66B7" w:rsidP="009E72B7">
    <w:pPr>
      <w:pBdr>
        <w:bottom w:val="single" w:sz="4" w:space="1" w:color="auto"/>
      </w:pBdr>
      <w:spacing w:line="240" w:lineRule="auto"/>
      <w:jc w:val="both"/>
      <w:rPr>
        <w:sz w:val="18"/>
        <w:szCs w:val="18"/>
      </w:rPr>
    </w:pP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r>
      <w:rPr>
        <w:rFonts w:ascii="Georgia" w:hAnsi="Georgia" w:cs="GDPFNT33-nn1-Courier_New"/>
        <w:b/>
        <w:sz w:val="18"/>
        <w:szCs w:val="18"/>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80482" w14:textId="520AF499" w:rsidR="00DF66B7" w:rsidRPr="00944E19" w:rsidRDefault="00DF66B7" w:rsidP="00944E19">
    <w:pPr>
      <w:pStyle w:val="Header"/>
    </w:pPr>
    <w:r w:rsidRPr="00944E19">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6B7CD" w14:textId="77777777" w:rsidR="00E65ED3" w:rsidRPr="009F19FD" w:rsidRDefault="00E65ED3" w:rsidP="00E65ED3">
    <w:pPr>
      <w:pBdr>
        <w:bottom w:val="single" w:sz="4" w:space="1" w:color="auto"/>
      </w:pBdr>
      <w:spacing w:line="240" w:lineRule="auto"/>
      <w:rPr>
        <w:b/>
        <w:bCs/>
      </w:rPr>
    </w:pPr>
    <w:r w:rsidRPr="003B603E">
      <w:rPr>
        <w:b/>
        <w:bCs/>
      </w:rPr>
      <w:t>SOAH Docket No. 473-20-4709.WS</w:t>
    </w:r>
  </w:p>
  <w:p w14:paraId="1D360260" w14:textId="77777777" w:rsidR="00E65ED3" w:rsidRPr="00220BBE" w:rsidRDefault="00E65ED3" w:rsidP="008E0D83">
    <w:pPr>
      <w:pBdr>
        <w:bottom w:val="single" w:sz="4" w:space="1" w:color="auto"/>
      </w:pBdr>
      <w:spacing w:after="240" w:line="240" w:lineRule="auto"/>
    </w:pPr>
    <w:r>
      <w:rPr>
        <w:b/>
      </w:rPr>
      <w:t xml:space="preserve">PUC </w:t>
    </w:r>
    <w:r w:rsidRPr="00220BBE">
      <w:rPr>
        <w:b/>
      </w:rPr>
      <w:t xml:space="preserve">Docket No. </w:t>
    </w:r>
    <w:r>
      <w:rPr>
        <w:b/>
      </w:rPr>
      <w:t>50944</w:t>
    </w:r>
    <w:r w:rsidRPr="00220BBE">
      <w:rPr>
        <w:b/>
      </w:rPr>
      <w:tab/>
    </w:r>
    <w:r w:rsidRPr="00220BBE">
      <w:rPr>
        <w:b/>
      </w:rPr>
      <w:tab/>
    </w:r>
    <w:r w:rsidRPr="00220BBE">
      <w:rPr>
        <w:b/>
      </w:rPr>
      <w:tab/>
    </w:r>
    <w:r w:rsidRPr="00220BBE">
      <w:rPr>
        <w:b/>
      </w:rPr>
      <w:tab/>
    </w:r>
    <w:r w:rsidRPr="00220BBE">
      <w:rPr>
        <w:b/>
      </w:rPr>
      <w:tab/>
    </w:r>
    <w:r w:rsidRPr="00220BBE">
      <w:rPr>
        <w:b/>
      </w:rPr>
      <w:tab/>
    </w:r>
    <w:r w:rsidRPr="00220BBE">
      <w:rPr>
        <w:b/>
      </w:rPr>
      <w:tab/>
    </w:r>
    <w:r w:rsidRPr="00220BBE">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220BBE">
      <w:rPr>
        <w:b/>
        <w:bCs/>
      </w:rPr>
      <w:t xml:space="preserve">Page </w:t>
    </w:r>
    <w:r w:rsidRPr="00220BBE">
      <w:rPr>
        <w:rStyle w:val="PageNumber"/>
        <w:b/>
      </w:rPr>
      <w:fldChar w:fldCharType="begin"/>
    </w:r>
    <w:r w:rsidRPr="00220BBE">
      <w:rPr>
        <w:rStyle w:val="PageNumber"/>
        <w:b/>
      </w:rPr>
      <w:instrText xml:space="preserve"> PAGE </w:instrText>
    </w:r>
    <w:r w:rsidRPr="00220BBE">
      <w:rPr>
        <w:rStyle w:val="PageNumber"/>
        <w:b/>
      </w:rPr>
      <w:fldChar w:fldCharType="separate"/>
    </w:r>
    <w:r>
      <w:rPr>
        <w:rStyle w:val="PageNumber"/>
        <w:b/>
      </w:rPr>
      <w:t>3</w:t>
    </w:r>
    <w:r w:rsidRPr="00220BBE">
      <w:rPr>
        <w:rStyle w:val="PageNumber"/>
        <w:b/>
      </w:rPr>
      <w:fldChar w:fldCharType="end"/>
    </w:r>
    <w:r w:rsidRPr="00220BBE">
      <w:rPr>
        <w:b/>
      </w:rP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D4831" w14:textId="77777777" w:rsidR="00944E19" w:rsidRPr="0043384F" w:rsidRDefault="00944E19" w:rsidP="0043384F">
    <w:pPr>
      <w:pBdr>
        <w:bottom w:val="single" w:sz="4" w:space="1" w:color="auto"/>
      </w:pBdr>
      <w:spacing w:line="240" w:lineRule="auto"/>
      <w:rPr>
        <w:b/>
        <w:bCs/>
      </w:rPr>
    </w:pPr>
    <w:r w:rsidRPr="0043384F">
      <w:rPr>
        <w:b/>
        <w:bCs/>
      </w:rPr>
      <w:t>SOAH Docket No. 473-20-4709.WS</w:t>
    </w:r>
  </w:p>
  <w:p w14:paraId="33A74A6E" w14:textId="77777777" w:rsidR="00944E19" w:rsidRPr="0043384F" w:rsidRDefault="00944E19" w:rsidP="008E0D83">
    <w:pPr>
      <w:pBdr>
        <w:bottom w:val="single" w:sz="4" w:space="1" w:color="auto"/>
      </w:pBdr>
      <w:spacing w:after="240" w:line="240" w:lineRule="auto"/>
    </w:pPr>
    <w:r w:rsidRPr="0043384F">
      <w:rPr>
        <w:b/>
      </w:rPr>
      <w:t>PUC Docket No. 50944</w:t>
    </w:r>
    <w:r w:rsidRPr="0043384F">
      <w:rPr>
        <w:b/>
      </w:rPr>
      <w:tab/>
    </w:r>
    <w:r w:rsidRPr="0043384F">
      <w:rPr>
        <w:b/>
      </w:rPr>
      <w:tab/>
    </w:r>
    <w:r w:rsidRPr="0043384F">
      <w:rPr>
        <w:b/>
      </w:rPr>
      <w:tab/>
    </w:r>
    <w:r w:rsidRPr="0043384F">
      <w:rPr>
        <w:b/>
      </w:rPr>
      <w:tab/>
    </w:r>
    <w:r w:rsidRPr="0043384F">
      <w:rPr>
        <w:b/>
      </w:rPr>
      <w:tab/>
    </w:r>
    <w:r w:rsidRPr="0043384F">
      <w:rPr>
        <w:b/>
      </w:rPr>
      <w:tab/>
    </w:r>
    <w:r w:rsidRPr="0043384F">
      <w:rPr>
        <w:b/>
      </w:rPr>
      <w:tab/>
    </w:r>
    <w:r w:rsidRPr="0043384F">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Pr>
        <w:b/>
      </w:rPr>
      <w:tab/>
    </w:r>
    <w:r w:rsidRPr="0043384F">
      <w:rPr>
        <w:b/>
        <w:bCs/>
      </w:rPr>
      <w:t xml:space="preserve">Page </w:t>
    </w:r>
    <w:r w:rsidRPr="0043384F">
      <w:rPr>
        <w:b/>
      </w:rPr>
      <w:fldChar w:fldCharType="begin"/>
    </w:r>
    <w:r w:rsidRPr="0043384F">
      <w:rPr>
        <w:b/>
      </w:rPr>
      <w:instrText xml:space="preserve"> PAGE </w:instrText>
    </w:r>
    <w:r w:rsidRPr="0043384F">
      <w:rPr>
        <w:b/>
      </w:rPr>
      <w:fldChar w:fldCharType="separate"/>
    </w:r>
    <w:r w:rsidRPr="0043384F">
      <w:rPr>
        <w:b/>
      </w:rPr>
      <w:t>2</w:t>
    </w:r>
    <w:r w:rsidRPr="0043384F">
      <w:rPr>
        <w:b/>
      </w:rPr>
      <w:fldChar w:fldCharType="end"/>
    </w:r>
    <w:r w:rsidRPr="0043384F">
      <w:rPr>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 w15:restartNumberingAfterBreak="0">
    <w:nsid w:val="00000002"/>
    <w:multiLevelType w:val="multilevel"/>
    <w:tmpl w:val="00000000"/>
    <w:name w:val="AutoList10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 w15:restartNumberingAfterBreak="0">
    <w:nsid w:val="00000003"/>
    <w:multiLevelType w:val="multilevel"/>
    <w:tmpl w:val="00000000"/>
    <w:name w:val="AutoList1"/>
    <w:lvl w:ilvl="0">
      <w:start w:val="1"/>
      <w:numFmt w:val="upperLetter"/>
      <w:lvlText w:val="%1."/>
      <w:lvlJc w:val="left"/>
    </w:lvl>
    <w:lvl w:ilvl="1">
      <w:start w:val="1"/>
      <w:numFmt w:val="upperLetter"/>
      <w:pStyle w:val="Level2"/>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 w15:restartNumberingAfterBreak="0">
    <w:nsid w:val="00000004"/>
    <w:multiLevelType w:val="multilevel"/>
    <w:tmpl w:val="35462B9E"/>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4" w15:restartNumberingAfterBreak="0">
    <w:nsid w:val="00000005"/>
    <w:multiLevelType w:val="multilevel"/>
    <w:tmpl w:val="00000000"/>
    <w:name w:val="AutoList108"/>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5" w15:restartNumberingAfterBreak="0">
    <w:nsid w:val="00000006"/>
    <w:multiLevelType w:val="multilevel"/>
    <w:tmpl w:val="00000000"/>
    <w:name w:val="AutoList23"/>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6" w15:restartNumberingAfterBreak="0">
    <w:nsid w:val="00000007"/>
    <w:multiLevelType w:val="multilevel"/>
    <w:tmpl w:val="00000000"/>
    <w:name w:val="AutoList24"/>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7" w15:restartNumberingAfterBreak="0">
    <w:nsid w:val="00000008"/>
    <w:multiLevelType w:val="multilevel"/>
    <w:tmpl w:val="00000000"/>
    <w:name w:val="AutoList59"/>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8" w15:restartNumberingAfterBreak="0">
    <w:nsid w:val="00000009"/>
    <w:multiLevelType w:val="multilevel"/>
    <w:tmpl w:val="00000000"/>
    <w:name w:val="AutoList2"/>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9" w15:restartNumberingAfterBreak="0">
    <w:nsid w:val="0000000A"/>
    <w:multiLevelType w:val="multilevel"/>
    <w:tmpl w:val="00000000"/>
    <w:name w:val="AutoList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0" w15:restartNumberingAfterBreak="0">
    <w:nsid w:val="0000000B"/>
    <w:multiLevelType w:val="multilevel"/>
    <w:tmpl w:val="CE3C921E"/>
    <w:name w:val="AutoList1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1" w15:restartNumberingAfterBreak="0">
    <w:nsid w:val="0000000C"/>
    <w:multiLevelType w:val="multilevel"/>
    <w:tmpl w:val="F7507E90"/>
    <w:name w:val="AutoList1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2" w15:restartNumberingAfterBreak="0">
    <w:nsid w:val="0000000D"/>
    <w:multiLevelType w:val="multilevel"/>
    <w:tmpl w:val="00000000"/>
    <w:name w:val="AutoList140"/>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3" w15:restartNumberingAfterBreak="0">
    <w:nsid w:val="0000000E"/>
    <w:multiLevelType w:val="multilevel"/>
    <w:tmpl w:val="00000000"/>
    <w:name w:val="AutoList36"/>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4" w15:restartNumberingAfterBreak="0">
    <w:nsid w:val="0000000F"/>
    <w:multiLevelType w:val="multilevel"/>
    <w:tmpl w:val="00000000"/>
    <w:name w:val="AutoList37"/>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5" w15:restartNumberingAfterBreak="0">
    <w:nsid w:val="00000010"/>
    <w:multiLevelType w:val="multilevel"/>
    <w:tmpl w:val="00000000"/>
    <w:name w:val="AutoList38"/>
    <w:lvl w:ilvl="0">
      <w:start w:val="1"/>
      <w:numFmt w:val="upperLetter"/>
      <w:pStyle w:val="Level1"/>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6" w15:restartNumberingAfterBreak="0">
    <w:nsid w:val="00000011"/>
    <w:multiLevelType w:val="multilevel"/>
    <w:tmpl w:val="00000000"/>
    <w:name w:val="AutoList41"/>
    <w:lvl w:ilvl="0">
      <w:start w:val="1"/>
      <w:numFmt w:val="upperLetter"/>
      <w:lvlText w:val="%1."/>
      <w:lvlJc w:val="left"/>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7" w15:restartNumberingAfterBreak="0">
    <w:nsid w:val="032F607C"/>
    <w:multiLevelType w:val="hybridMultilevel"/>
    <w:tmpl w:val="7BFE32AA"/>
    <w:lvl w:ilvl="0" w:tplc="982EBD44">
      <w:start w:val="1"/>
      <w:numFmt w:val="upperLetter"/>
      <w:lvlText w:val="%1."/>
      <w:lvlJc w:val="left"/>
      <w:pPr>
        <w:ind w:left="1080" w:hanging="360"/>
      </w:pPr>
      <w:rPr>
        <w:rFonts w:eastAsia="Times New Roman"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08107835"/>
    <w:multiLevelType w:val="multilevel"/>
    <w:tmpl w:val="B992A174"/>
    <w:lvl w:ilvl="0">
      <w:start w:val="1"/>
      <w:numFmt w:val="upperLetter"/>
      <w:lvlText w:val="%1."/>
      <w:lvlJc w:val="left"/>
    </w:lvl>
    <w:lvl w:ilvl="1">
      <w:start w:val="1"/>
      <w:numFmt w:val="lowerRoman"/>
      <w:lvlText w:val="%2."/>
      <w:lvlJc w:val="right"/>
    </w:lvl>
    <w:lvl w:ilvl="2">
      <w:start w:val="1"/>
      <w:numFmt w:val="lowerRoman"/>
      <w:lvlText w:val="%3."/>
      <w:lvlJc w:val="righ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9" w15:restartNumberingAfterBreak="0">
    <w:nsid w:val="0BE87FA6"/>
    <w:multiLevelType w:val="hybridMultilevel"/>
    <w:tmpl w:val="5AC00458"/>
    <w:lvl w:ilvl="0" w:tplc="F6A225D6">
      <w:start w:val="17"/>
      <w:numFmt w:val="upperLetter"/>
      <w:lvlText w:val="%1."/>
      <w:lvlJc w:val="left"/>
      <w:pPr>
        <w:ind w:left="720" w:hanging="360"/>
      </w:pPr>
      <w:rPr>
        <w:rFonts w:eastAsiaTheme="minorEastAsia"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C8921E8"/>
    <w:multiLevelType w:val="hybridMultilevel"/>
    <w:tmpl w:val="5D5C1C1C"/>
    <w:lvl w:ilvl="0" w:tplc="81400F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10646DFE"/>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2" w15:restartNumberingAfterBreak="0">
    <w:nsid w:val="11077019"/>
    <w:multiLevelType w:val="hybridMultilevel"/>
    <w:tmpl w:val="3ACE712E"/>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17FC5EAD"/>
    <w:multiLevelType w:val="multilevel"/>
    <w:tmpl w:val="BC8E4950"/>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24" w15:restartNumberingAfterBreak="0">
    <w:nsid w:val="20121BED"/>
    <w:multiLevelType w:val="hybridMultilevel"/>
    <w:tmpl w:val="A2529CE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8F023D"/>
    <w:multiLevelType w:val="hybridMultilevel"/>
    <w:tmpl w:val="6246A876"/>
    <w:lvl w:ilvl="0" w:tplc="1F5429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EA647C2"/>
    <w:multiLevelType w:val="multilevel"/>
    <w:tmpl w:val="80245C94"/>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27" w15:restartNumberingAfterBreak="0">
    <w:nsid w:val="306C6619"/>
    <w:multiLevelType w:val="multilevel"/>
    <w:tmpl w:val="B380B6CC"/>
    <w:lvl w:ilvl="0">
      <w:start w:val="1"/>
      <w:numFmt w:val="none"/>
      <w:lvlText w:val="%1A."/>
      <w:lvlJc w:val="left"/>
      <w:pPr>
        <w:tabs>
          <w:tab w:val="num" w:pos="360"/>
        </w:tabs>
        <w:ind w:left="0" w:firstLine="0"/>
      </w:pPr>
      <w:rPr>
        <w:rFonts w:hint="default"/>
        <w:b w:val="0"/>
        <w:color w:val="auto"/>
      </w:rPr>
    </w:lvl>
    <w:lvl w:ilvl="1">
      <w:start w:val="1"/>
      <w:numFmt w:val="upperLetter"/>
      <w:lvlText w:val="%2."/>
      <w:lvlJc w:val="left"/>
      <w:pPr>
        <w:tabs>
          <w:tab w:val="num" w:pos="1080"/>
        </w:tabs>
        <w:ind w:left="720" w:firstLine="0"/>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8" w15:restartNumberingAfterBreak="0">
    <w:nsid w:val="38927F95"/>
    <w:multiLevelType w:val="multilevel"/>
    <w:tmpl w:val="85C0A01A"/>
    <w:lvl w:ilvl="0">
      <w:start w:val="100"/>
      <w:numFmt w:val="decimal"/>
      <w:lvlText w:val="%1.0"/>
      <w:lvlJc w:val="left"/>
      <w:pPr>
        <w:ind w:left="660" w:hanging="660"/>
      </w:pPr>
      <w:rPr>
        <w:rFonts w:hint="default"/>
        <w:u w:val="double"/>
      </w:rPr>
    </w:lvl>
    <w:lvl w:ilvl="1">
      <w:start w:val="1"/>
      <w:numFmt w:val="decimalZero"/>
      <w:lvlText w:val="%1.%2"/>
      <w:lvlJc w:val="left"/>
      <w:pPr>
        <w:ind w:left="948" w:hanging="66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584" w:hanging="72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520" w:hanging="108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456" w:hanging="1440"/>
      </w:pPr>
      <w:rPr>
        <w:rFonts w:hint="default"/>
      </w:rPr>
    </w:lvl>
    <w:lvl w:ilvl="8">
      <w:start w:val="1"/>
      <w:numFmt w:val="decimal"/>
      <w:lvlText w:val="%1.%2.%3.%4.%5.%6.%7.%8.%9"/>
      <w:lvlJc w:val="left"/>
      <w:pPr>
        <w:ind w:left="4104" w:hanging="1800"/>
      </w:pPr>
      <w:rPr>
        <w:rFonts w:hint="default"/>
      </w:rPr>
    </w:lvl>
  </w:abstractNum>
  <w:abstractNum w:abstractNumId="29" w15:restartNumberingAfterBreak="0">
    <w:nsid w:val="3E5C0386"/>
    <w:multiLevelType w:val="hybridMultilevel"/>
    <w:tmpl w:val="1F0A2CAE"/>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0" w15:restartNumberingAfterBreak="0">
    <w:nsid w:val="410D5428"/>
    <w:multiLevelType w:val="hybridMultilevel"/>
    <w:tmpl w:val="0C0226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74F5469"/>
    <w:multiLevelType w:val="multilevel"/>
    <w:tmpl w:val="07F0CF48"/>
    <w:lvl w:ilvl="0">
      <w:start w:val="1"/>
      <w:numFmt w:val="upperLetter"/>
      <w:lvlText w:val="%1."/>
      <w:lvlJc w:val="left"/>
    </w:lvl>
    <w:lvl w:ilvl="1">
      <w:start w:val="1"/>
      <w:numFmt w:val="lowerRoman"/>
      <w:lvlText w:val="%2."/>
      <w:lvlJc w:val="righ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32" w15:restartNumberingAfterBreak="0">
    <w:nsid w:val="4C49429B"/>
    <w:multiLevelType w:val="hybridMultilevel"/>
    <w:tmpl w:val="C81C88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BA0DE0"/>
    <w:multiLevelType w:val="hybridMultilevel"/>
    <w:tmpl w:val="84D2E29C"/>
    <w:lvl w:ilvl="0" w:tplc="04090001">
      <w:start w:val="1"/>
      <w:numFmt w:val="bullet"/>
      <w:lvlText w:val=""/>
      <w:lvlJc w:val="left"/>
      <w:pPr>
        <w:ind w:left="1088" w:hanging="360"/>
      </w:pPr>
      <w:rPr>
        <w:rFonts w:ascii="Symbol" w:hAnsi="Symbol" w:hint="default"/>
      </w:rPr>
    </w:lvl>
    <w:lvl w:ilvl="1" w:tplc="04090003" w:tentative="1">
      <w:start w:val="1"/>
      <w:numFmt w:val="bullet"/>
      <w:lvlText w:val="o"/>
      <w:lvlJc w:val="left"/>
      <w:pPr>
        <w:ind w:left="1808" w:hanging="360"/>
      </w:pPr>
      <w:rPr>
        <w:rFonts w:ascii="Courier New" w:hAnsi="Courier New" w:cs="Courier New" w:hint="default"/>
      </w:rPr>
    </w:lvl>
    <w:lvl w:ilvl="2" w:tplc="04090005" w:tentative="1">
      <w:start w:val="1"/>
      <w:numFmt w:val="bullet"/>
      <w:lvlText w:val=""/>
      <w:lvlJc w:val="left"/>
      <w:pPr>
        <w:ind w:left="2528" w:hanging="360"/>
      </w:pPr>
      <w:rPr>
        <w:rFonts w:ascii="Wingdings" w:hAnsi="Wingdings" w:hint="default"/>
      </w:rPr>
    </w:lvl>
    <w:lvl w:ilvl="3" w:tplc="04090001" w:tentative="1">
      <w:start w:val="1"/>
      <w:numFmt w:val="bullet"/>
      <w:lvlText w:val=""/>
      <w:lvlJc w:val="left"/>
      <w:pPr>
        <w:ind w:left="3248" w:hanging="360"/>
      </w:pPr>
      <w:rPr>
        <w:rFonts w:ascii="Symbol" w:hAnsi="Symbol" w:hint="default"/>
      </w:rPr>
    </w:lvl>
    <w:lvl w:ilvl="4" w:tplc="04090003" w:tentative="1">
      <w:start w:val="1"/>
      <w:numFmt w:val="bullet"/>
      <w:lvlText w:val="o"/>
      <w:lvlJc w:val="left"/>
      <w:pPr>
        <w:ind w:left="3968" w:hanging="360"/>
      </w:pPr>
      <w:rPr>
        <w:rFonts w:ascii="Courier New" w:hAnsi="Courier New" w:cs="Courier New" w:hint="default"/>
      </w:rPr>
    </w:lvl>
    <w:lvl w:ilvl="5" w:tplc="04090005" w:tentative="1">
      <w:start w:val="1"/>
      <w:numFmt w:val="bullet"/>
      <w:lvlText w:val=""/>
      <w:lvlJc w:val="left"/>
      <w:pPr>
        <w:ind w:left="4688" w:hanging="360"/>
      </w:pPr>
      <w:rPr>
        <w:rFonts w:ascii="Wingdings" w:hAnsi="Wingdings" w:hint="default"/>
      </w:rPr>
    </w:lvl>
    <w:lvl w:ilvl="6" w:tplc="04090001" w:tentative="1">
      <w:start w:val="1"/>
      <w:numFmt w:val="bullet"/>
      <w:lvlText w:val=""/>
      <w:lvlJc w:val="left"/>
      <w:pPr>
        <w:ind w:left="5408" w:hanging="360"/>
      </w:pPr>
      <w:rPr>
        <w:rFonts w:ascii="Symbol" w:hAnsi="Symbol" w:hint="default"/>
      </w:rPr>
    </w:lvl>
    <w:lvl w:ilvl="7" w:tplc="04090003" w:tentative="1">
      <w:start w:val="1"/>
      <w:numFmt w:val="bullet"/>
      <w:lvlText w:val="o"/>
      <w:lvlJc w:val="left"/>
      <w:pPr>
        <w:ind w:left="6128" w:hanging="360"/>
      </w:pPr>
      <w:rPr>
        <w:rFonts w:ascii="Courier New" w:hAnsi="Courier New" w:cs="Courier New" w:hint="default"/>
      </w:rPr>
    </w:lvl>
    <w:lvl w:ilvl="8" w:tplc="04090005" w:tentative="1">
      <w:start w:val="1"/>
      <w:numFmt w:val="bullet"/>
      <w:lvlText w:val=""/>
      <w:lvlJc w:val="left"/>
      <w:pPr>
        <w:ind w:left="6848" w:hanging="360"/>
      </w:pPr>
      <w:rPr>
        <w:rFonts w:ascii="Wingdings" w:hAnsi="Wingdings" w:hint="default"/>
      </w:rPr>
    </w:lvl>
  </w:abstractNum>
  <w:abstractNum w:abstractNumId="34" w15:restartNumberingAfterBreak="0">
    <w:nsid w:val="5C404FF1"/>
    <w:multiLevelType w:val="hybridMultilevel"/>
    <w:tmpl w:val="367CBA6C"/>
    <w:lvl w:ilvl="0" w:tplc="1DF0F20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23853ED"/>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36" w15:restartNumberingAfterBreak="0">
    <w:nsid w:val="66B75600"/>
    <w:multiLevelType w:val="singleLevel"/>
    <w:tmpl w:val="EBBC44FA"/>
    <w:lvl w:ilvl="0">
      <w:start w:val="1"/>
      <w:numFmt w:val="bullet"/>
      <w:pStyle w:val="BulletedList"/>
      <w:lvlText w:val=""/>
      <w:lvlJc w:val="left"/>
      <w:pPr>
        <w:tabs>
          <w:tab w:val="num" w:pos="360"/>
        </w:tabs>
        <w:ind w:left="245" w:hanging="245"/>
      </w:pPr>
      <w:rPr>
        <w:rFonts w:ascii="Wingdings" w:hAnsi="Wingdings" w:hint="default"/>
      </w:rPr>
    </w:lvl>
  </w:abstractNum>
  <w:abstractNum w:abstractNumId="37" w15:restartNumberingAfterBreak="0">
    <w:nsid w:val="69FC3F48"/>
    <w:multiLevelType w:val="hybridMultilevel"/>
    <w:tmpl w:val="C230261A"/>
    <w:lvl w:ilvl="0" w:tplc="037CE778">
      <w:start w:val="100"/>
      <w:numFmt w:val="decimal"/>
      <w:lvlText w:val="%1"/>
      <w:lvlJc w:val="left"/>
      <w:pPr>
        <w:ind w:left="1020" w:hanging="360"/>
      </w:pPr>
      <w:rPr>
        <w:rFonts w:hint="default"/>
        <w:u w:val="double"/>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8" w15:restartNumberingAfterBreak="0">
    <w:nsid w:val="6B4573D4"/>
    <w:multiLevelType w:val="multilevel"/>
    <w:tmpl w:val="ADF89A12"/>
    <w:lvl w:ilvl="0">
      <w:start w:val="11"/>
      <w:numFmt w:val="decimal"/>
      <w:lvlText w:val="%1"/>
      <w:lvlJc w:val="left"/>
      <w:pPr>
        <w:ind w:left="540" w:hanging="540"/>
      </w:pPr>
      <w:rPr>
        <w:rFonts w:hint="default"/>
      </w:rPr>
    </w:lvl>
    <w:lvl w:ilvl="1">
      <w:start w:val="1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1314338"/>
    <w:multiLevelType w:val="hybridMultilevel"/>
    <w:tmpl w:val="111844B6"/>
    <w:lvl w:ilvl="0" w:tplc="93FEF426">
      <w:start w:val="1"/>
      <w:numFmt w:val="decimal"/>
      <w:lvlText w:val="(%1)"/>
      <w:lvlJc w:val="left"/>
      <w:pPr>
        <w:ind w:left="2406" w:hanging="390"/>
      </w:pPr>
      <w:rPr>
        <w:rFonts w:hint="default"/>
        <w:color w:val="auto"/>
      </w:rPr>
    </w:lvl>
    <w:lvl w:ilvl="1" w:tplc="04090019">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40" w15:restartNumberingAfterBreak="0">
    <w:nsid w:val="751736B2"/>
    <w:multiLevelType w:val="hybridMultilevel"/>
    <w:tmpl w:val="17929750"/>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1" w15:restartNumberingAfterBreak="0">
    <w:nsid w:val="77A000E5"/>
    <w:multiLevelType w:val="hybridMultilevel"/>
    <w:tmpl w:val="3568359C"/>
    <w:lvl w:ilvl="0" w:tplc="15B03F34">
      <w:start w:val="17"/>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D97B24"/>
    <w:multiLevelType w:val="multilevel"/>
    <w:tmpl w:val="E2489A3C"/>
    <w:lvl w:ilvl="0">
      <w:start w:val="1"/>
      <w:numFmt w:val="upperLetter"/>
      <w:lvlText w:val="%1."/>
      <w:lvlJc w:val="left"/>
      <w:pPr>
        <w:ind w:left="1080" w:hanging="360"/>
      </w:pPr>
      <w:rPr>
        <w:rFonts w:eastAsia="Times New Roman" w:hint="default"/>
        <w:u w:val="single"/>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43" w15:restartNumberingAfterBreak="0">
    <w:nsid w:val="7D4510A2"/>
    <w:multiLevelType w:val="hybridMultilevel"/>
    <w:tmpl w:val="FAFC1A90"/>
    <w:lvl w:ilvl="0" w:tplc="67CA4532">
      <w:start w:val="1"/>
      <w:numFmt w:val="upperLetter"/>
      <w:lvlText w:val="%1."/>
      <w:lvlJc w:val="left"/>
      <w:pPr>
        <w:ind w:left="1440" w:hanging="720"/>
      </w:pPr>
      <w:rPr>
        <w:rFonts w:hint="default"/>
        <w:b/>
      </w:rPr>
    </w:lvl>
    <w:lvl w:ilvl="1" w:tplc="0409000F">
      <w:start w:val="1"/>
      <w:numFmt w:val="decimal"/>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2">
    <w:abstractNumId w:val="2"/>
    <w:lvlOverride w:ilvl="0">
      <w:lvl w:ilvl="0">
        <w:start w:val="1"/>
        <w:numFmt w:val="lowerRoman"/>
        <w:lvlText w:val="%1."/>
        <w:lvlJc w:val="right"/>
        <w:pPr>
          <w:ind w:left="360" w:hanging="360"/>
        </w:pPr>
      </w:lvl>
    </w:lvlOverride>
    <w:lvlOverride w:ilvl="1">
      <w:lvl w:ilvl="1">
        <w:start w:val="1"/>
        <w:numFmt w:val="lowerLetter"/>
        <w:pStyle w:val="Level2"/>
        <w:lvlText w:val="%2."/>
        <w:lvlJc w:val="left"/>
        <w:pPr>
          <w:ind w:left="1080" w:hanging="360"/>
        </w:pPr>
      </w:lvl>
    </w:lvlOverride>
    <w:lvlOverride w:ilvl="2">
      <w:lvl w:ilvl="2" w:tentative="1">
        <w:start w:val="1"/>
        <w:numFmt w:val="lowerRoman"/>
        <w:lvlText w:val="%3."/>
        <w:lvlJc w:val="right"/>
        <w:pPr>
          <w:ind w:left="1800" w:hanging="180"/>
        </w:pPr>
      </w:lvl>
    </w:lvlOverride>
    <w:lvlOverride w:ilvl="3">
      <w:lvl w:ilvl="3" w:tentative="1">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3">
    <w:abstractNumId w:val="3"/>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4">
    <w:abstractNumId w:val="5"/>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5">
    <w:abstractNumId w:val="6"/>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6">
    <w:abstractNumId w:val="7"/>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7">
    <w:abstractNumId w:val="3"/>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8">
    <w:abstractNumId w:val="10"/>
    <w:lvlOverride w:ilvl="0">
      <w:startOverride w:val="17"/>
      <w:lvl w:ilvl="0">
        <w:start w:val="17"/>
        <w:numFmt w:val="upperLetter"/>
        <w:lvlText w:val="%1."/>
        <w:lvlJc w:val="left"/>
        <w:rPr>
          <w:b/>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9">
    <w:abstractNumId w:val="11"/>
    <w:lvlOverride w:ilvl="0">
      <w:startOverride w:val="1"/>
      <w:lvl w:ilvl="0">
        <w:start w:val="1"/>
        <w:numFmt w:val="upperLetter"/>
        <w:lvlText w:val="%1."/>
        <w:lvlJc w:val="left"/>
        <w:rPr>
          <w:b w:val="0"/>
        </w:rPr>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0">
    <w:abstractNumId w:val="12"/>
    <w:lvlOverride w:ilvl="0">
      <w:startOverride w:val="1"/>
      <w:lvl w:ilvl="0">
        <w:start w:val="1"/>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1">
    <w:abstractNumId w:val="13"/>
    <w:lvlOverride w:ilvl="0">
      <w:startOverride w:val="2"/>
      <w:lvl w:ilvl="0">
        <w:start w:val="2"/>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2">
    <w:abstractNumId w:val="14"/>
    <w:lvlOverride w:ilvl="0">
      <w:startOverride w:val="17"/>
      <w:lvl w:ilvl="0">
        <w:start w:val="17"/>
        <w:numFmt w:val="upperLetter"/>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3">
    <w:abstractNumId w:val="15"/>
    <w:lvlOverride w:ilvl="0">
      <w:startOverride w:val="1"/>
      <w:lvl w:ilvl="0">
        <w:start w:val="1"/>
        <w:numFmt w:val="upperLetter"/>
        <w:pStyle w:val="Level1"/>
        <w:lvlText w:val="%1."/>
        <w:lvlJc w:val="left"/>
      </w:lvl>
    </w:lvlOverride>
    <w:lvlOverride w:ilvl="1">
      <w:startOverride w:val="1"/>
      <w:lvl w:ilvl="1">
        <w:start w:val="1"/>
        <w:numFmt w:val="upperLetter"/>
        <w:lvlText w:val="%2."/>
        <w:lvlJc w:val="left"/>
      </w:lvl>
    </w:lvlOverride>
    <w:lvlOverride w:ilvl="2">
      <w:startOverride w:val="1"/>
      <w:lvl w:ilvl="2">
        <w:start w:val="1"/>
        <w:numFmt w:val="upperLetter"/>
        <w:lvlText w:val="%3."/>
        <w:lvlJc w:val="left"/>
      </w:lvl>
    </w:lvlOverride>
    <w:lvlOverride w:ilvl="3">
      <w:startOverride w:val="1"/>
      <w:lvl w:ilvl="3">
        <w:start w:val="1"/>
        <w:numFmt w:val="upperLetter"/>
        <w:lvlText w:val="%4."/>
        <w:lvlJc w:val="left"/>
      </w:lvl>
    </w:lvlOverride>
    <w:lvlOverride w:ilvl="4">
      <w:startOverride w:val="1"/>
      <w:lvl w:ilvl="4">
        <w:start w:val="1"/>
        <w:numFmt w:val="upperLetter"/>
        <w:lvlText w:val="%5."/>
        <w:lvlJc w:val="left"/>
      </w:lvl>
    </w:lvlOverride>
    <w:lvlOverride w:ilvl="5">
      <w:startOverride w:val="1"/>
      <w:lvl w:ilvl="5">
        <w:start w:val="1"/>
        <w:numFmt w:val="upperLetter"/>
        <w:lvlText w:val="%6."/>
        <w:lvlJc w:val="left"/>
      </w:lvl>
    </w:lvlOverride>
    <w:lvlOverride w:ilvl="6">
      <w:startOverride w:val="1"/>
      <w:lvl w:ilvl="6">
        <w:start w:val="1"/>
        <w:numFmt w:val="upperLetter"/>
        <w:lvlText w:val="%7."/>
        <w:lvlJc w:val="left"/>
      </w:lvl>
    </w:lvlOverride>
    <w:lvlOverride w:ilvl="7">
      <w:startOverride w:val="1"/>
      <w:lvl w:ilvl="7">
        <w:start w:val="1"/>
        <w:numFmt w:val="upperLetter"/>
        <w:lvlText w:val="%8."/>
        <w:lvlJc w:val="left"/>
      </w:lvl>
    </w:lvlOverride>
  </w:num>
  <w:num w:numId="14">
    <w:abstractNumId w:val="25"/>
  </w:num>
  <w:num w:numId="15">
    <w:abstractNumId w:val="36"/>
  </w:num>
  <w:num w:numId="16">
    <w:abstractNumId w:val="41"/>
  </w:num>
  <w:num w:numId="17">
    <w:abstractNumId w:val="19"/>
  </w:num>
  <w:num w:numId="18">
    <w:abstractNumId w:val="31"/>
  </w:num>
  <w:num w:numId="19">
    <w:abstractNumId w:val="18"/>
  </w:num>
  <w:num w:numId="20">
    <w:abstractNumId w:val="23"/>
  </w:num>
  <w:num w:numId="21">
    <w:abstractNumId w:val="17"/>
  </w:num>
  <w:num w:numId="22">
    <w:abstractNumId w:val="24"/>
  </w:num>
  <w:num w:numId="23">
    <w:abstractNumId w:val="32"/>
  </w:num>
  <w:num w:numId="24">
    <w:abstractNumId w:val="34"/>
  </w:num>
  <w:num w:numId="25">
    <w:abstractNumId w:val="26"/>
  </w:num>
  <w:num w:numId="26">
    <w:abstractNumId w:val="35"/>
  </w:num>
  <w:num w:numId="27">
    <w:abstractNumId w:val="21"/>
  </w:num>
  <w:num w:numId="28">
    <w:abstractNumId w:val="42"/>
  </w:num>
  <w:num w:numId="29">
    <w:abstractNumId w:val="26"/>
    <w:lvlOverride w:ilvl="0">
      <w:startOverride w:val="4"/>
    </w:lvlOverride>
  </w:num>
  <w:num w:numId="30">
    <w:abstractNumId w:val="20"/>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40"/>
  </w:num>
  <w:num w:numId="34">
    <w:abstractNumId w:val="39"/>
  </w:num>
  <w:num w:numId="35">
    <w:abstractNumId w:val="38"/>
  </w:num>
  <w:num w:numId="36">
    <w:abstractNumId w:val="28"/>
  </w:num>
  <w:num w:numId="37">
    <w:abstractNumId w:val="37"/>
  </w:num>
  <w:num w:numId="38">
    <w:abstractNumId w:val="27"/>
  </w:num>
  <w:num w:numId="39">
    <w:abstractNumId w:val="43"/>
  </w:num>
  <w:num w:numId="40">
    <w:abstractNumId w:val="33"/>
  </w:num>
  <w:num w:numId="41">
    <w:abstractNumId w:val="22"/>
  </w:num>
  <w:num w:numId="42">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28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5866"/>
    <w:rsid w:val="000048E3"/>
    <w:rsid w:val="00005A15"/>
    <w:rsid w:val="00011B60"/>
    <w:rsid w:val="00014239"/>
    <w:rsid w:val="00016943"/>
    <w:rsid w:val="00016C08"/>
    <w:rsid w:val="00021D2A"/>
    <w:rsid w:val="00021D91"/>
    <w:rsid w:val="000227DD"/>
    <w:rsid w:val="00025088"/>
    <w:rsid w:val="00026898"/>
    <w:rsid w:val="000323C4"/>
    <w:rsid w:val="00033CF1"/>
    <w:rsid w:val="00033F47"/>
    <w:rsid w:val="00034C9C"/>
    <w:rsid w:val="0004075C"/>
    <w:rsid w:val="00046E11"/>
    <w:rsid w:val="0005370C"/>
    <w:rsid w:val="000549E8"/>
    <w:rsid w:val="00055601"/>
    <w:rsid w:val="00057B54"/>
    <w:rsid w:val="00057FDF"/>
    <w:rsid w:val="0006004A"/>
    <w:rsid w:val="00064075"/>
    <w:rsid w:val="000646DF"/>
    <w:rsid w:val="000647A2"/>
    <w:rsid w:val="00070D2C"/>
    <w:rsid w:val="000735A2"/>
    <w:rsid w:val="0007462F"/>
    <w:rsid w:val="00074CDB"/>
    <w:rsid w:val="00076D66"/>
    <w:rsid w:val="00080DEA"/>
    <w:rsid w:val="000856D1"/>
    <w:rsid w:val="00087FEE"/>
    <w:rsid w:val="0009177A"/>
    <w:rsid w:val="000A1465"/>
    <w:rsid w:val="000A22F1"/>
    <w:rsid w:val="000A3433"/>
    <w:rsid w:val="000A420D"/>
    <w:rsid w:val="000A4E32"/>
    <w:rsid w:val="000A6EE5"/>
    <w:rsid w:val="000B0D4D"/>
    <w:rsid w:val="000B35A2"/>
    <w:rsid w:val="000B4A6D"/>
    <w:rsid w:val="000B727D"/>
    <w:rsid w:val="000C1754"/>
    <w:rsid w:val="000C29FB"/>
    <w:rsid w:val="000C37B8"/>
    <w:rsid w:val="000C5CA3"/>
    <w:rsid w:val="000D0008"/>
    <w:rsid w:val="000D15C5"/>
    <w:rsid w:val="000D27CE"/>
    <w:rsid w:val="000D7A32"/>
    <w:rsid w:val="000E1BDE"/>
    <w:rsid w:val="000E408F"/>
    <w:rsid w:val="000E500B"/>
    <w:rsid w:val="000E5917"/>
    <w:rsid w:val="000E6D76"/>
    <w:rsid w:val="000E794B"/>
    <w:rsid w:val="000F2C73"/>
    <w:rsid w:val="000F47CC"/>
    <w:rsid w:val="0010243A"/>
    <w:rsid w:val="00106759"/>
    <w:rsid w:val="00111CED"/>
    <w:rsid w:val="0011253A"/>
    <w:rsid w:val="001137E4"/>
    <w:rsid w:val="0011672D"/>
    <w:rsid w:val="00120E9A"/>
    <w:rsid w:val="0012255D"/>
    <w:rsid w:val="00123F02"/>
    <w:rsid w:val="00131107"/>
    <w:rsid w:val="00132E7E"/>
    <w:rsid w:val="00133358"/>
    <w:rsid w:val="00134998"/>
    <w:rsid w:val="00136F8F"/>
    <w:rsid w:val="00140E1E"/>
    <w:rsid w:val="00141A69"/>
    <w:rsid w:val="00142A5C"/>
    <w:rsid w:val="00146723"/>
    <w:rsid w:val="00147715"/>
    <w:rsid w:val="00147FD1"/>
    <w:rsid w:val="00154625"/>
    <w:rsid w:val="0015511A"/>
    <w:rsid w:val="001555C7"/>
    <w:rsid w:val="00156167"/>
    <w:rsid w:val="0015662E"/>
    <w:rsid w:val="00160B51"/>
    <w:rsid w:val="00162887"/>
    <w:rsid w:val="00162A63"/>
    <w:rsid w:val="0016455E"/>
    <w:rsid w:val="00170853"/>
    <w:rsid w:val="00171D70"/>
    <w:rsid w:val="0017598F"/>
    <w:rsid w:val="00177836"/>
    <w:rsid w:val="00177F59"/>
    <w:rsid w:val="00182427"/>
    <w:rsid w:val="001824E6"/>
    <w:rsid w:val="00183ACA"/>
    <w:rsid w:val="00185866"/>
    <w:rsid w:val="00185F44"/>
    <w:rsid w:val="0019278F"/>
    <w:rsid w:val="001932BA"/>
    <w:rsid w:val="00194049"/>
    <w:rsid w:val="001A373C"/>
    <w:rsid w:val="001A3FEC"/>
    <w:rsid w:val="001A4799"/>
    <w:rsid w:val="001A5B0A"/>
    <w:rsid w:val="001A6858"/>
    <w:rsid w:val="001A7AB7"/>
    <w:rsid w:val="001B4832"/>
    <w:rsid w:val="001B4E13"/>
    <w:rsid w:val="001B5F22"/>
    <w:rsid w:val="001C1E27"/>
    <w:rsid w:val="001C22B4"/>
    <w:rsid w:val="001C597C"/>
    <w:rsid w:val="001C71F2"/>
    <w:rsid w:val="001D2A94"/>
    <w:rsid w:val="001D2AED"/>
    <w:rsid w:val="001D3927"/>
    <w:rsid w:val="001D5306"/>
    <w:rsid w:val="001D78FD"/>
    <w:rsid w:val="001E1563"/>
    <w:rsid w:val="001E1CA9"/>
    <w:rsid w:val="001E3ADD"/>
    <w:rsid w:val="001E3BFD"/>
    <w:rsid w:val="001E4001"/>
    <w:rsid w:val="001F09FD"/>
    <w:rsid w:val="001F0F57"/>
    <w:rsid w:val="001F1D25"/>
    <w:rsid w:val="001F20D4"/>
    <w:rsid w:val="001F3D9E"/>
    <w:rsid w:val="001F4E97"/>
    <w:rsid w:val="001F7201"/>
    <w:rsid w:val="00200B56"/>
    <w:rsid w:val="00204A6E"/>
    <w:rsid w:val="0020537B"/>
    <w:rsid w:val="0021055A"/>
    <w:rsid w:val="00213074"/>
    <w:rsid w:val="00213E71"/>
    <w:rsid w:val="00214F55"/>
    <w:rsid w:val="002154F6"/>
    <w:rsid w:val="0022289D"/>
    <w:rsid w:val="00230ADF"/>
    <w:rsid w:val="00231264"/>
    <w:rsid w:val="00231452"/>
    <w:rsid w:val="00234B19"/>
    <w:rsid w:val="00243779"/>
    <w:rsid w:val="00244014"/>
    <w:rsid w:val="00246F74"/>
    <w:rsid w:val="00246F77"/>
    <w:rsid w:val="002503D0"/>
    <w:rsid w:val="002536AE"/>
    <w:rsid w:val="00254318"/>
    <w:rsid w:val="0025462F"/>
    <w:rsid w:val="00254A76"/>
    <w:rsid w:val="00254E7F"/>
    <w:rsid w:val="002564E4"/>
    <w:rsid w:val="00263EA6"/>
    <w:rsid w:val="0026610A"/>
    <w:rsid w:val="00266168"/>
    <w:rsid w:val="002669DB"/>
    <w:rsid w:val="002708E6"/>
    <w:rsid w:val="002731E1"/>
    <w:rsid w:val="00274F44"/>
    <w:rsid w:val="00275144"/>
    <w:rsid w:val="00283CE2"/>
    <w:rsid w:val="002856F4"/>
    <w:rsid w:val="002904BF"/>
    <w:rsid w:val="00295C5C"/>
    <w:rsid w:val="00295C88"/>
    <w:rsid w:val="00296428"/>
    <w:rsid w:val="002A25DD"/>
    <w:rsid w:val="002A7CBC"/>
    <w:rsid w:val="002B09A8"/>
    <w:rsid w:val="002B1A7C"/>
    <w:rsid w:val="002B5C3D"/>
    <w:rsid w:val="002C5563"/>
    <w:rsid w:val="002C7677"/>
    <w:rsid w:val="002C7E43"/>
    <w:rsid w:val="002D128B"/>
    <w:rsid w:val="002D1332"/>
    <w:rsid w:val="002D148E"/>
    <w:rsid w:val="002D2879"/>
    <w:rsid w:val="002D3724"/>
    <w:rsid w:val="002D6AB3"/>
    <w:rsid w:val="002E7350"/>
    <w:rsid w:val="002E7475"/>
    <w:rsid w:val="002E7524"/>
    <w:rsid w:val="002F23CE"/>
    <w:rsid w:val="002F59DF"/>
    <w:rsid w:val="002F6066"/>
    <w:rsid w:val="00301F48"/>
    <w:rsid w:val="0030786F"/>
    <w:rsid w:val="00307955"/>
    <w:rsid w:val="003131C3"/>
    <w:rsid w:val="00316641"/>
    <w:rsid w:val="00316883"/>
    <w:rsid w:val="00323054"/>
    <w:rsid w:val="00326266"/>
    <w:rsid w:val="00331749"/>
    <w:rsid w:val="00331875"/>
    <w:rsid w:val="00331DC9"/>
    <w:rsid w:val="003417F8"/>
    <w:rsid w:val="00343CB4"/>
    <w:rsid w:val="0034544C"/>
    <w:rsid w:val="003503F5"/>
    <w:rsid w:val="00350C11"/>
    <w:rsid w:val="00360BB7"/>
    <w:rsid w:val="00360ED2"/>
    <w:rsid w:val="00366E4D"/>
    <w:rsid w:val="003743AD"/>
    <w:rsid w:val="00374681"/>
    <w:rsid w:val="00374E12"/>
    <w:rsid w:val="003756BD"/>
    <w:rsid w:val="00376209"/>
    <w:rsid w:val="003815B4"/>
    <w:rsid w:val="00383A9B"/>
    <w:rsid w:val="00385DDD"/>
    <w:rsid w:val="00390A6E"/>
    <w:rsid w:val="003927EA"/>
    <w:rsid w:val="00395901"/>
    <w:rsid w:val="00395F86"/>
    <w:rsid w:val="00397C22"/>
    <w:rsid w:val="003A0722"/>
    <w:rsid w:val="003A69F6"/>
    <w:rsid w:val="003A76DD"/>
    <w:rsid w:val="003A7CCB"/>
    <w:rsid w:val="003B2F6B"/>
    <w:rsid w:val="003B47BC"/>
    <w:rsid w:val="003B6BC0"/>
    <w:rsid w:val="003B7CC1"/>
    <w:rsid w:val="003C2B2E"/>
    <w:rsid w:val="003D01DB"/>
    <w:rsid w:val="003D0AD4"/>
    <w:rsid w:val="003D66D6"/>
    <w:rsid w:val="003E2473"/>
    <w:rsid w:val="003E39E4"/>
    <w:rsid w:val="003E3CE2"/>
    <w:rsid w:val="003F23CA"/>
    <w:rsid w:val="003F5318"/>
    <w:rsid w:val="00401C5C"/>
    <w:rsid w:val="004053EC"/>
    <w:rsid w:val="00405D21"/>
    <w:rsid w:val="00406633"/>
    <w:rsid w:val="00407028"/>
    <w:rsid w:val="004079F2"/>
    <w:rsid w:val="004124B1"/>
    <w:rsid w:val="00414D98"/>
    <w:rsid w:val="004161A4"/>
    <w:rsid w:val="00417FB0"/>
    <w:rsid w:val="004204AA"/>
    <w:rsid w:val="00420FD0"/>
    <w:rsid w:val="0043140E"/>
    <w:rsid w:val="00431A37"/>
    <w:rsid w:val="004322A4"/>
    <w:rsid w:val="00432650"/>
    <w:rsid w:val="0043384F"/>
    <w:rsid w:val="00436265"/>
    <w:rsid w:val="004375C8"/>
    <w:rsid w:val="004379E6"/>
    <w:rsid w:val="00437A61"/>
    <w:rsid w:val="00441A81"/>
    <w:rsid w:val="00442BBD"/>
    <w:rsid w:val="00443806"/>
    <w:rsid w:val="004445D6"/>
    <w:rsid w:val="00447DAC"/>
    <w:rsid w:val="004510A5"/>
    <w:rsid w:val="00454101"/>
    <w:rsid w:val="00457839"/>
    <w:rsid w:val="0046088F"/>
    <w:rsid w:val="00470AFA"/>
    <w:rsid w:val="00470BA2"/>
    <w:rsid w:val="00471FF1"/>
    <w:rsid w:val="0047702D"/>
    <w:rsid w:val="004779CE"/>
    <w:rsid w:val="004803D1"/>
    <w:rsid w:val="00484EC6"/>
    <w:rsid w:val="00490A22"/>
    <w:rsid w:val="00492121"/>
    <w:rsid w:val="0049345D"/>
    <w:rsid w:val="00495528"/>
    <w:rsid w:val="00496F82"/>
    <w:rsid w:val="004A2BB4"/>
    <w:rsid w:val="004A415F"/>
    <w:rsid w:val="004B5CFF"/>
    <w:rsid w:val="004C2289"/>
    <w:rsid w:val="004C4905"/>
    <w:rsid w:val="004C568B"/>
    <w:rsid w:val="004D3864"/>
    <w:rsid w:val="004D3EA9"/>
    <w:rsid w:val="004D4572"/>
    <w:rsid w:val="004D5546"/>
    <w:rsid w:val="004D5BB8"/>
    <w:rsid w:val="004E4A14"/>
    <w:rsid w:val="004E4C4C"/>
    <w:rsid w:val="004E621C"/>
    <w:rsid w:val="004E6B5D"/>
    <w:rsid w:val="004E6D77"/>
    <w:rsid w:val="004F0C23"/>
    <w:rsid w:val="004F5108"/>
    <w:rsid w:val="00502C38"/>
    <w:rsid w:val="00504898"/>
    <w:rsid w:val="00506353"/>
    <w:rsid w:val="00516071"/>
    <w:rsid w:val="00516499"/>
    <w:rsid w:val="0051673F"/>
    <w:rsid w:val="0052007C"/>
    <w:rsid w:val="00520867"/>
    <w:rsid w:val="005247F9"/>
    <w:rsid w:val="0052537F"/>
    <w:rsid w:val="005256C0"/>
    <w:rsid w:val="00526255"/>
    <w:rsid w:val="00526720"/>
    <w:rsid w:val="00532D0B"/>
    <w:rsid w:val="005330E3"/>
    <w:rsid w:val="00535126"/>
    <w:rsid w:val="005364B4"/>
    <w:rsid w:val="005400EC"/>
    <w:rsid w:val="005413CA"/>
    <w:rsid w:val="00546774"/>
    <w:rsid w:val="00552916"/>
    <w:rsid w:val="0055556B"/>
    <w:rsid w:val="00560ABF"/>
    <w:rsid w:val="005618F1"/>
    <w:rsid w:val="00562BA4"/>
    <w:rsid w:val="00563E7C"/>
    <w:rsid w:val="00564B0B"/>
    <w:rsid w:val="005652D0"/>
    <w:rsid w:val="00566892"/>
    <w:rsid w:val="0057253F"/>
    <w:rsid w:val="00573572"/>
    <w:rsid w:val="00574DCC"/>
    <w:rsid w:val="00575849"/>
    <w:rsid w:val="005769C8"/>
    <w:rsid w:val="00580B86"/>
    <w:rsid w:val="00583549"/>
    <w:rsid w:val="00592B1C"/>
    <w:rsid w:val="00593AC1"/>
    <w:rsid w:val="00594E8A"/>
    <w:rsid w:val="005A1145"/>
    <w:rsid w:val="005A27FA"/>
    <w:rsid w:val="005A3A71"/>
    <w:rsid w:val="005A43FB"/>
    <w:rsid w:val="005A494F"/>
    <w:rsid w:val="005B29FB"/>
    <w:rsid w:val="005B4EA7"/>
    <w:rsid w:val="005B5306"/>
    <w:rsid w:val="005C05DC"/>
    <w:rsid w:val="005C3757"/>
    <w:rsid w:val="005C63BC"/>
    <w:rsid w:val="005D00A5"/>
    <w:rsid w:val="005D2152"/>
    <w:rsid w:val="005D33B4"/>
    <w:rsid w:val="005D3B45"/>
    <w:rsid w:val="005D771E"/>
    <w:rsid w:val="005E128A"/>
    <w:rsid w:val="005E1A5E"/>
    <w:rsid w:val="005E7398"/>
    <w:rsid w:val="005F1E9B"/>
    <w:rsid w:val="005F2C8A"/>
    <w:rsid w:val="005F33AE"/>
    <w:rsid w:val="006042B8"/>
    <w:rsid w:val="00605D7C"/>
    <w:rsid w:val="00614B66"/>
    <w:rsid w:val="006173E2"/>
    <w:rsid w:val="00623116"/>
    <w:rsid w:val="00625094"/>
    <w:rsid w:val="006273AB"/>
    <w:rsid w:val="00627EAB"/>
    <w:rsid w:val="00633A0F"/>
    <w:rsid w:val="00637E25"/>
    <w:rsid w:val="0064286D"/>
    <w:rsid w:val="00644013"/>
    <w:rsid w:val="00647B9D"/>
    <w:rsid w:val="00650872"/>
    <w:rsid w:val="00652527"/>
    <w:rsid w:val="00655447"/>
    <w:rsid w:val="00657057"/>
    <w:rsid w:val="00657367"/>
    <w:rsid w:val="00657A48"/>
    <w:rsid w:val="00662A01"/>
    <w:rsid w:val="00664CB4"/>
    <w:rsid w:val="00666357"/>
    <w:rsid w:val="006668DA"/>
    <w:rsid w:val="006722FC"/>
    <w:rsid w:val="0067261D"/>
    <w:rsid w:val="00676299"/>
    <w:rsid w:val="00681B3A"/>
    <w:rsid w:val="00681D1E"/>
    <w:rsid w:val="00681D9A"/>
    <w:rsid w:val="00682447"/>
    <w:rsid w:val="00683336"/>
    <w:rsid w:val="006900B7"/>
    <w:rsid w:val="006950D4"/>
    <w:rsid w:val="006A037F"/>
    <w:rsid w:val="006A1243"/>
    <w:rsid w:val="006A186C"/>
    <w:rsid w:val="006A44DF"/>
    <w:rsid w:val="006A51D7"/>
    <w:rsid w:val="006B0B31"/>
    <w:rsid w:val="006B31D2"/>
    <w:rsid w:val="006B3336"/>
    <w:rsid w:val="006B3B06"/>
    <w:rsid w:val="006C10BD"/>
    <w:rsid w:val="006C1C01"/>
    <w:rsid w:val="006C233D"/>
    <w:rsid w:val="006C6710"/>
    <w:rsid w:val="006D081C"/>
    <w:rsid w:val="006D4C94"/>
    <w:rsid w:val="006D671C"/>
    <w:rsid w:val="006E2419"/>
    <w:rsid w:val="006E489A"/>
    <w:rsid w:val="006E4B4C"/>
    <w:rsid w:val="006E5B05"/>
    <w:rsid w:val="006E68FA"/>
    <w:rsid w:val="006E6DF7"/>
    <w:rsid w:val="006F138E"/>
    <w:rsid w:val="006F5040"/>
    <w:rsid w:val="006F7F77"/>
    <w:rsid w:val="00700A2D"/>
    <w:rsid w:val="0070520D"/>
    <w:rsid w:val="00705430"/>
    <w:rsid w:val="007058D6"/>
    <w:rsid w:val="0070654C"/>
    <w:rsid w:val="00706D72"/>
    <w:rsid w:val="00706EBF"/>
    <w:rsid w:val="00711154"/>
    <w:rsid w:val="007112D9"/>
    <w:rsid w:val="00711725"/>
    <w:rsid w:val="00713383"/>
    <w:rsid w:val="00714027"/>
    <w:rsid w:val="00714F3E"/>
    <w:rsid w:val="007233A8"/>
    <w:rsid w:val="00726655"/>
    <w:rsid w:val="00726D20"/>
    <w:rsid w:val="00730B02"/>
    <w:rsid w:val="00731879"/>
    <w:rsid w:val="00733713"/>
    <w:rsid w:val="00735D6B"/>
    <w:rsid w:val="0073612D"/>
    <w:rsid w:val="00742C80"/>
    <w:rsid w:val="007470A0"/>
    <w:rsid w:val="00747A32"/>
    <w:rsid w:val="00751CD1"/>
    <w:rsid w:val="007528E5"/>
    <w:rsid w:val="00754BAA"/>
    <w:rsid w:val="00754C22"/>
    <w:rsid w:val="00754DBA"/>
    <w:rsid w:val="00762A04"/>
    <w:rsid w:val="00764915"/>
    <w:rsid w:val="00765AE2"/>
    <w:rsid w:val="0077028F"/>
    <w:rsid w:val="007765B3"/>
    <w:rsid w:val="00776D9C"/>
    <w:rsid w:val="00782932"/>
    <w:rsid w:val="00785047"/>
    <w:rsid w:val="0078663A"/>
    <w:rsid w:val="00791011"/>
    <w:rsid w:val="007949F4"/>
    <w:rsid w:val="007955E7"/>
    <w:rsid w:val="00796F8F"/>
    <w:rsid w:val="007A3CAC"/>
    <w:rsid w:val="007A4387"/>
    <w:rsid w:val="007A4C09"/>
    <w:rsid w:val="007B1118"/>
    <w:rsid w:val="007B3184"/>
    <w:rsid w:val="007B49C9"/>
    <w:rsid w:val="007B6E8C"/>
    <w:rsid w:val="007B7B57"/>
    <w:rsid w:val="007B7FDB"/>
    <w:rsid w:val="007C3261"/>
    <w:rsid w:val="007C551C"/>
    <w:rsid w:val="007C57CA"/>
    <w:rsid w:val="007D1026"/>
    <w:rsid w:val="007D314F"/>
    <w:rsid w:val="007D34D9"/>
    <w:rsid w:val="007E337F"/>
    <w:rsid w:val="007E3AA7"/>
    <w:rsid w:val="007E4AF3"/>
    <w:rsid w:val="007E5400"/>
    <w:rsid w:val="007E62A0"/>
    <w:rsid w:val="007F1EFF"/>
    <w:rsid w:val="007F1F8F"/>
    <w:rsid w:val="007F3A5D"/>
    <w:rsid w:val="007F6175"/>
    <w:rsid w:val="007F6F19"/>
    <w:rsid w:val="00800E04"/>
    <w:rsid w:val="008028A9"/>
    <w:rsid w:val="00803C17"/>
    <w:rsid w:val="00804EA7"/>
    <w:rsid w:val="008061FD"/>
    <w:rsid w:val="00814A34"/>
    <w:rsid w:val="00814E55"/>
    <w:rsid w:val="00814E9A"/>
    <w:rsid w:val="00820367"/>
    <w:rsid w:val="00820D3A"/>
    <w:rsid w:val="00822CE3"/>
    <w:rsid w:val="00822D05"/>
    <w:rsid w:val="00822EBE"/>
    <w:rsid w:val="00824816"/>
    <w:rsid w:val="0082681B"/>
    <w:rsid w:val="00826EB7"/>
    <w:rsid w:val="00830295"/>
    <w:rsid w:val="00830669"/>
    <w:rsid w:val="00831FA0"/>
    <w:rsid w:val="008338A1"/>
    <w:rsid w:val="00835081"/>
    <w:rsid w:val="00836224"/>
    <w:rsid w:val="00840A9D"/>
    <w:rsid w:val="00843A0B"/>
    <w:rsid w:val="00844C58"/>
    <w:rsid w:val="00846CF7"/>
    <w:rsid w:val="008522D3"/>
    <w:rsid w:val="008531D5"/>
    <w:rsid w:val="008534E0"/>
    <w:rsid w:val="0085368F"/>
    <w:rsid w:val="008536DC"/>
    <w:rsid w:val="00856403"/>
    <w:rsid w:val="00857531"/>
    <w:rsid w:val="0085799B"/>
    <w:rsid w:val="00861C2D"/>
    <w:rsid w:val="0086796A"/>
    <w:rsid w:val="00870C71"/>
    <w:rsid w:val="00870D9E"/>
    <w:rsid w:val="00875837"/>
    <w:rsid w:val="008822D9"/>
    <w:rsid w:val="00883058"/>
    <w:rsid w:val="0088747B"/>
    <w:rsid w:val="0089408F"/>
    <w:rsid w:val="00894EA8"/>
    <w:rsid w:val="008974D6"/>
    <w:rsid w:val="00897603"/>
    <w:rsid w:val="008A43C7"/>
    <w:rsid w:val="008A56DF"/>
    <w:rsid w:val="008A71E9"/>
    <w:rsid w:val="008B0CB1"/>
    <w:rsid w:val="008B2E1C"/>
    <w:rsid w:val="008B3ECD"/>
    <w:rsid w:val="008B4D28"/>
    <w:rsid w:val="008B4D6F"/>
    <w:rsid w:val="008B584C"/>
    <w:rsid w:val="008B6879"/>
    <w:rsid w:val="008B7A1F"/>
    <w:rsid w:val="008C1379"/>
    <w:rsid w:val="008C2E3F"/>
    <w:rsid w:val="008C31D2"/>
    <w:rsid w:val="008C4CCA"/>
    <w:rsid w:val="008C6861"/>
    <w:rsid w:val="008D25CC"/>
    <w:rsid w:val="008D2B95"/>
    <w:rsid w:val="008D6397"/>
    <w:rsid w:val="008D7ED7"/>
    <w:rsid w:val="008E0D83"/>
    <w:rsid w:val="008E24DC"/>
    <w:rsid w:val="008E3459"/>
    <w:rsid w:val="008F0F28"/>
    <w:rsid w:val="008F2C2F"/>
    <w:rsid w:val="008F4648"/>
    <w:rsid w:val="00903438"/>
    <w:rsid w:val="00903B35"/>
    <w:rsid w:val="009048D6"/>
    <w:rsid w:val="00914379"/>
    <w:rsid w:val="00915652"/>
    <w:rsid w:val="00921D16"/>
    <w:rsid w:val="00925638"/>
    <w:rsid w:val="0093165A"/>
    <w:rsid w:val="0093286D"/>
    <w:rsid w:val="00933561"/>
    <w:rsid w:val="0093459E"/>
    <w:rsid w:val="0094155E"/>
    <w:rsid w:val="00941AED"/>
    <w:rsid w:val="009424D1"/>
    <w:rsid w:val="00943582"/>
    <w:rsid w:val="00943B3C"/>
    <w:rsid w:val="00944E19"/>
    <w:rsid w:val="009540F8"/>
    <w:rsid w:val="00954677"/>
    <w:rsid w:val="00956FF8"/>
    <w:rsid w:val="00961DAA"/>
    <w:rsid w:val="009620EB"/>
    <w:rsid w:val="00962815"/>
    <w:rsid w:val="009650E5"/>
    <w:rsid w:val="00967873"/>
    <w:rsid w:val="00970BB8"/>
    <w:rsid w:val="00977BF6"/>
    <w:rsid w:val="00980541"/>
    <w:rsid w:val="00980CEA"/>
    <w:rsid w:val="00983B74"/>
    <w:rsid w:val="00986EFA"/>
    <w:rsid w:val="009906C6"/>
    <w:rsid w:val="009922AD"/>
    <w:rsid w:val="0099290C"/>
    <w:rsid w:val="00993DAF"/>
    <w:rsid w:val="009A04FC"/>
    <w:rsid w:val="009A0538"/>
    <w:rsid w:val="009A1EE8"/>
    <w:rsid w:val="009A57D5"/>
    <w:rsid w:val="009A7419"/>
    <w:rsid w:val="009B1D4C"/>
    <w:rsid w:val="009B7DA3"/>
    <w:rsid w:val="009C6446"/>
    <w:rsid w:val="009D066B"/>
    <w:rsid w:val="009D5634"/>
    <w:rsid w:val="009D699C"/>
    <w:rsid w:val="009E36D9"/>
    <w:rsid w:val="009E6334"/>
    <w:rsid w:val="009E7212"/>
    <w:rsid w:val="009E72B7"/>
    <w:rsid w:val="009F0798"/>
    <w:rsid w:val="009F1418"/>
    <w:rsid w:val="009F1E15"/>
    <w:rsid w:val="009F40EC"/>
    <w:rsid w:val="009F6F2A"/>
    <w:rsid w:val="00A035EB"/>
    <w:rsid w:val="00A0544E"/>
    <w:rsid w:val="00A11646"/>
    <w:rsid w:val="00A15EC6"/>
    <w:rsid w:val="00A166D7"/>
    <w:rsid w:val="00A20D8D"/>
    <w:rsid w:val="00A21B63"/>
    <w:rsid w:val="00A22675"/>
    <w:rsid w:val="00A22F97"/>
    <w:rsid w:val="00A234FD"/>
    <w:rsid w:val="00A23AEF"/>
    <w:rsid w:val="00A2496A"/>
    <w:rsid w:val="00A3046B"/>
    <w:rsid w:val="00A3079B"/>
    <w:rsid w:val="00A352E8"/>
    <w:rsid w:val="00A3633B"/>
    <w:rsid w:val="00A36525"/>
    <w:rsid w:val="00A42F78"/>
    <w:rsid w:val="00A4494F"/>
    <w:rsid w:val="00A44A4F"/>
    <w:rsid w:val="00A451CB"/>
    <w:rsid w:val="00A46FBF"/>
    <w:rsid w:val="00A50EAD"/>
    <w:rsid w:val="00A519C1"/>
    <w:rsid w:val="00A52C31"/>
    <w:rsid w:val="00A5411D"/>
    <w:rsid w:val="00A55C73"/>
    <w:rsid w:val="00A62A79"/>
    <w:rsid w:val="00A65CEE"/>
    <w:rsid w:val="00A6650C"/>
    <w:rsid w:val="00A73B34"/>
    <w:rsid w:val="00A74EF1"/>
    <w:rsid w:val="00A751B1"/>
    <w:rsid w:val="00A76569"/>
    <w:rsid w:val="00A7720F"/>
    <w:rsid w:val="00A77DD9"/>
    <w:rsid w:val="00A81322"/>
    <w:rsid w:val="00A85B8B"/>
    <w:rsid w:val="00A85DFA"/>
    <w:rsid w:val="00A863E9"/>
    <w:rsid w:val="00A86D0E"/>
    <w:rsid w:val="00A87E64"/>
    <w:rsid w:val="00A906A2"/>
    <w:rsid w:val="00A91D68"/>
    <w:rsid w:val="00A932AB"/>
    <w:rsid w:val="00A94D00"/>
    <w:rsid w:val="00A94D9B"/>
    <w:rsid w:val="00AA0B0E"/>
    <w:rsid w:val="00AA49DF"/>
    <w:rsid w:val="00AA63E8"/>
    <w:rsid w:val="00AB05F8"/>
    <w:rsid w:val="00AB11EC"/>
    <w:rsid w:val="00AB4751"/>
    <w:rsid w:val="00AB6018"/>
    <w:rsid w:val="00AC3047"/>
    <w:rsid w:val="00AC6DE2"/>
    <w:rsid w:val="00AD4801"/>
    <w:rsid w:val="00AD6464"/>
    <w:rsid w:val="00AE6FD1"/>
    <w:rsid w:val="00AF0615"/>
    <w:rsid w:val="00AF0F05"/>
    <w:rsid w:val="00AF1835"/>
    <w:rsid w:val="00AF29A3"/>
    <w:rsid w:val="00AF2C9F"/>
    <w:rsid w:val="00AF43B8"/>
    <w:rsid w:val="00AF5A46"/>
    <w:rsid w:val="00AF6303"/>
    <w:rsid w:val="00AF6514"/>
    <w:rsid w:val="00AF6637"/>
    <w:rsid w:val="00AF6D89"/>
    <w:rsid w:val="00B00F1F"/>
    <w:rsid w:val="00B0296B"/>
    <w:rsid w:val="00B04D67"/>
    <w:rsid w:val="00B05317"/>
    <w:rsid w:val="00B06491"/>
    <w:rsid w:val="00B06E2B"/>
    <w:rsid w:val="00B10839"/>
    <w:rsid w:val="00B1259D"/>
    <w:rsid w:val="00B125F2"/>
    <w:rsid w:val="00B127AA"/>
    <w:rsid w:val="00B12BDD"/>
    <w:rsid w:val="00B133CF"/>
    <w:rsid w:val="00B13C33"/>
    <w:rsid w:val="00B1489C"/>
    <w:rsid w:val="00B1750A"/>
    <w:rsid w:val="00B20604"/>
    <w:rsid w:val="00B21C12"/>
    <w:rsid w:val="00B24541"/>
    <w:rsid w:val="00B24726"/>
    <w:rsid w:val="00B247A7"/>
    <w:rsid w:val="00B35193"/>
    <w:rsid w:val="00B35E7B"/>
    <w:rsid w:val="00B372EA"/>
    <w:rsid w:val="00B40E7A"/>
    <w:rsid w:val="00B4251B"/>
    <w:rsid w:val="00B42782"/>
    <w:rsid w:val="00B45855"/>
    <w:rsid w:val="00B50B45"/>
    <w:rsid w:val="00B514D6"/>
    <w:rsid w:val="00B5249A"/>
    <w:rsid w:val="00B52C4B"/>
    <w:rsid w:val="00B5439E"/>
    <w:rsid w:val="00B547ED"/>
    <w:rsid w:val="00B65100"/>
    <w:rsid w:val="00B66BC3"/>
    <w:rsid w:val="00B67435"/>
    <w:rsid w:val="00B704A4"/>
    <w:rsid w:val="00B70F8C"/>
    <w:rsid w:val="00B714A2"/>
    <w:rsid w:val="00B71E2B"/>
    <w:rsid w:val="00B74AA3"/>
    <w:rsid w:val="00B74BA7"/>
    <w:rsid w:val="00B759DC"/>
    <w:rsid w:val="00B77970"/>
    <w:rsid w:val="00B87D30"/>
    <w:rsid w:val="00B9035C"/>
    <w:rsid w:val="00B973E1"/>
    <w:rsid w:val="00B97ABA"/>
    <w:rsid w:val="00BA53EC"/>
    <w:rsid w:val="00BB4A2E"/>
    <w:rsid w:val="00BB6E5E"/>
    <w:rsid w:val="00BB7BD7"/>
    <w:rsid w:val="00BC32C3"/>
    <w:rsid w:val="00BD10E4"/>
    <w:rsid w:val="00BD209B"/>
    <w:rsid w:val="00BE295D"/>
    <w:rsid w:val="00BE3AD3"/>
    <w:rsid w:val="00BE40A3"/>
    <w:rsid w:val="00BE6571"/>
    <w:rsid w:val="00BE7600"/>
    <w:rsid w:val="00BF19DD"/>
    <w:rsid w:val="00BF4BC4"/>
    <w:rsid w:val="00BF5DB7"/>
    <w:rsid w:val="00BF6724"/>
    <w:rsid w:val="00BF6751"/>
    <w:rsid w:val="00BF7946"/>
    <w:rsid w:val="00BF7E3E"/>
    <w:rsid w:val="00C00053"/>
    <w:rsid w:val="00C00EDE"/>
    <w:rsid w:val="00C01585"/>
    <w:rsid w:val="00C02451"/>
    <w:rsid w:val="00C026F7"/>
    <w:rsid w:val="00C110B0"/>
    <w:rsid w:val="00C11352"/>
    <w:rsid w:val="00C11DFB"/>
    <w:rsid w:val="00C12C13"/>
    <w:rsid w:val="00C15E57"/>
    <w:rsid w:val="00C16712"/>
    <w:rsid w:val="00C21945"/>
    <w:rsid w:val="00C30B20"/>
    <w:rsid w:val="00C37A84"/>
    <w:rsid w:val="00C40DD8"/>
    <w:rsid w:val="00C416FA"/>
    <w:rsid w:val="00C4379C"/>
    <w:rsid w:val="00C44062"/>
    <w:rsid w:val="00C460BA"/>
    <w:rsid w:val="00C466F7"/>
    <w:rsid w:val="00C57A4E"/>
    <w:rsid w:val="00C605EB"/>
    <w:rsid w:val="00C60FA8"/>
    <w:rsid w:val="00C61376"/>
    <w:rsid w:val="00C63528"/>
    <w:rsid w:val="00C67C9A"/>
    <w:rsid w:val="00C7074A"/>
    <w:rsid w:val="00C732B2"/>
    <w:rsid w:val="00C741A2"/>
    <w:rsid w:val="00C84541"/>
    <w:rsid w:val="00C84562"/>
    <w:rsid w:val="00C869E3"/>
    <w:rsid w:val="00C86DF8"/>
    <w:rsid w:val="00C90915"/>
    <w:rsid w:val="00C944D0"/>
    <w:rsid w:val="00CA005A"/>
    <w:rsid w:val="00CA00F1"/>
    <w:rsid w:val="00CA05A9"/>
    <w:rsid w:val="00CA2582"/>
    <w:rsid w:val="00CA2655"/>
    <w:rsid w:val="00CA6326"/>
    <w:rsid w:val="00CA7B81"/>
    <w:rsid w:val="00CB2899"/>
    <w:rsid w:val="00CB2EE1"/>
    <w:rsid w:val="00CB3A44"/>
    <w:rsid w:val="00CB3EB6"/>
    <w:rsid w:val="00CB787E"/>
    <w:rsid w:val="00CC06DC"/>
    <w:rsid w:val="00CC3F4B"/>
    <w:rsid w:val="00CC5104"/>
    <w:rsid w:val="00CC5924"/>
    <w:rsid w:val="00CC7873"/>
    <w:rsid w:val="00CD071B"/>
    <w:rsid w:val="00CD1A6E"/>
    <w:rsid w:val="00CD26E3"/>
    <w:rsid w:val="00CD3F9A"/>
    <w:rsid w:val="00CD6441"/>
    <w:rsid w:val="00CD72A6"/>
    <w:rsid w:val="00CE6FA2"/>
    <w:rsid w:val="00CF10D5"/>
    <w:rsid w:val="00CF197C"/>
    <w:rsid w:val="00CF7244"/>
    <w:rsid w:val="00D00173"/>
    <w:rsid w:val="00D01BEE"/>
    <w:rsid w:val="00D107CB"/>
    <w:rsid w:val="00D12A09"/>
    <w:rsid w:val="00D13911"/>
    <w:rsid w:val="00D14098"/>
    <w:rsid w:val="00D141AF"/>
    <w:rsid w:val="00D149F7"/>
    <w:rsid w:val="00D164E2"/>
    <w:rsid w:val="00D173BC"/>
    <w:rsid w:val="00D21358"/>
    <w:rsid w:val="00D23C59"/>
    <w:rsid w:val="00D32C46"/>
    <w:rsid w:val="00D34143"/>
    <w:rsid w:val="00D34493"/>
    <w:rsid w:val="00D35E64"/>
    <w:rsid w:val="00D412FA"/>
    <w:rsid w:val="00D44974"/>
    <w:rsid w:val="00D45990"/>
    <w:rsid w:val="00D47E24"/>
    <w:rsid w:val="00D509FF"/>
    <w:rsid w:val="00D54149"/>
    <w:rsid w:val="00D63108"/>
    <w:rsid w:val="00D6757F"/>
    <w:rsid w:val="00D67823"/>
    <w:rsid w:val="00D73106"/>
    <w:rsid w:val="00D823CE"/>
    <w:rsid w:val="00D858B8"/>
    <w:rsid w:val="00D8645B"/>
    <w:rsid w:val="00D90227"/>
    <w:rsid w:val="00D91D47"/>
    <w:rsid w:val="00D92DF7"/>
    <w:rsid w:val="00DA3737"/>
    <w:rsid w:val="00DB513F"/>
    <w:rsid w:val="00DB5A70"/>
    <w:rsid w:val="00DC2D10"/>
    <w:rsid w:val="00DC3944"/>
    <w:rsid w:val="00DC4B37"/>
    <w:rsid w:val="00DC51B3"/>
    <w:rsid w:val="00DC57FC"/>
    <w:rsid w:val="00DC79F2"/>
    <w:rsid w:val="00DD03DD"/>
    <w:rsid w:val="00DD1E09"/>
    <w:rsid w:val="00DD1FD9"/>
    <w:rsid w:val="00DD2277"/>
    <w:rsid w:val="00DD252A"/>
    <w:rsid w:val="00DD3823"/>
    <w:rsid w:val="00DD4638"/>
    <w:rsid w:val="00DD64B7"/>
    <w:rsid w:val="00DE4062"/>
    <w:rsid w:val="00DE4EDF"/>
    <w:rsid w:val="00DE5DD2"/>
    <w:rsid w:val="00DF4775"/>
    <w:rsid w:val="00DF66B7"/>
    <w:rsid w:val="00DF67B2"/>
    <w:rsid w:val="00DF7DDC"/>
    <w:rsid w:val="00E03BEB"/>
    <w:rsid w:val="00E04690"/>
    <w:rsid w:val="00E074FD"/>
    <w:rsid w:val="00E113D8"/>
    <w:rsid w:val="00E1498F"/>
    <w:rsid w:val="00E17E5C"/>
    <w:rsid w:val="00E20698"/>
    <w:rsid w:val="00E24F2E"/>
    <w:rsid w:val="00E25BA7"/>
    <w:rsid w:val="00E271AC"/>
    <w:rsid w:val="00E27371"/>
    <w:rsid w:val="00E30812"/>
    <w:rsid w:val="00E3198A"/>
    <w:rsid w:val="00E31CCE"/>
    <w:rsid w:val="00E327CA"/>
    <w:rsid w:val="00E33672"/>
    <w:rsid w:val="00E3489B"/>
    <w:rsid w:val="00E37308"/>
    <w:rsid w:val="00E41CA9"/>
    <w:rsid w:val="00E42B63"/>
    <w:rsid w:val="00E42E99"/>
    <w:rsid w:val="00E43307"/>
    <w:rsid w:val="00E44183"/>
    <w:rsid w:val="00E4584D"/>
    <w:rsid w:val="00E45BD3"/>
    <w:rsid w:val="00E4677B"/>
    <w:rsid w:val="00E523EB"/>
    <w:rsid w:val="00E5547E"/>
    <w:rsid w:val="00E62198"/>
    <w:rsid w:val="00E65ED3"/>
    <w:rsid w:val="00E66CB9"/>
    <w:rsid w:val="00E75B5D"/>
    <w:rsid w:val="00E76C27"/>
    <w:rsid w:val="00E811A5"/>
    <w:rsid w:val="00E81480"/>
    <w:rsid w:val="00E8180C"/>
    <w:rsid w:val="00E822DD"/>
    <w:rsid w:val="00E839F1"/>
    <w:rsid w:val="00E84B04"/>
    <w:rsid w:val="00E87427"/>
    <w:rsid w:val="00E913D8"/>
    <w:rsid w:val="00E91FAF"/>
    <w:rsid w:val="00E932E7"/>
    <w:rsid w:val="00E940EE"/>
    <w:rsid w:val="00E94D64"/>
    <w:rsid w:val="00E9788F"/>
    <w:rsid w:val="00EA0073"/>
    <w:rsid w:val="00EA06E0"/>
    <w:rsid w:val="00EA1784"/>
    <w:rsid w:val="00EA3F3F"/>
    <w:rsid w:val="00EB1BC0"/>
    <w:rsid w:val="00EB6778"/>
    <w:rsid w:val="00EC04D1"/>
    <w:rsid w:val="00EC0D41"/>
    <w:rsid w:val="00EC2054"/>
    <w:rsid w:val="00EC215B"/>
    <w:rsid w:val="00EC61B8"/>
    <w:rsid w:val="00EC652F"/>
    <w:rsid w:val="00ED17D7"/>
    <w:rsid w:val="00ED25FC"/>
    <w:rsid w:val="00ED39DB"/>
    <w:rsid w:val="00ED490C"/>
    <w:rsid w:val="00ED4999"/>
    <w:rsid w:val="00ED7763"/>
    <w:rsid w:val="00ED7C1F"/>
    <w:rsid w:val="00EE21E2"/>
    <w:rsid w:val="00EE51DE"/>
    <w:rsid w:val="00EE5A81"/>
    <w:rsid w:val="00EE6725"/>
    <w:rsid w:val="00EF0E00"/>
    <w:rsid w:val="00EF3029"/>
    <w:rsid w:val="00F062B4"/>
    <w:rsid w:val="00F113E3"/>
    <w:rsid w:val="00F12533"/>
    <w:rsid w:val="00F13825"/>
    <w:rsid w:val="00F1550D"/>
    <w:rsid w:val="00F15FC7"/>
    <w:rsid w:val="00F16ABF"/>
    <w:rsid w:val="00F17349"/>
    <w:rsid w:val="00F21C0B"/>
    <w:rsid w:val="00F220F7"/>
    <w:rsid w:val="00F34A18"/>
    <w:rsid w:val="00F35CA4"/>
    <w:rsid w:val="00F37585"/>
    <w:rsid w:val="00F37B86"/>
    <w:rsid w:val="00F4221C"/>
    <w:rsid w:val="00F423AB"/>
    <w:rsid w:val="00F47FE8"/>
    <w:rsid w:val="00F502E2"/>
    <w:rsid w:val="00F50566"/>
    <w:rsid w:val="00F52814"/>
    <w:rsid w:val="00F563FC"/>
    <w:rsid w:val="00F575B1"/>
    <w:rsid w:val="00F57D6D"/>
    <w:rsid w:val="00F62252"/>
    <w:rsid w:val="00F62E85"/>
    <w:rsid w:val="00F650ED"/>
    <w:rsid w:val="00F66942"/>
    <w:rsid w:val="00F70BE5"/>
    <w:rsid w:val="00F71059"/>
    <w:rsid w:val="00F73BA8"/>
    <w:rsid w:val="00F76C20"/>
    <w:rsid w:val="00F80EE9"/>
    <w:rsid w:val="00F84F0E"/>
    <w:rsid w:val="00F8793E"/>
    <w:rsid w:val="00F907FB"/>
    <w:rsid w:val="00F909F5"/>
    <w:rsid w:val="00F920A2"/>
    <w:rsid w:val="00F920A6"/>
    <w:rsid w:val="00F92AC4"/>
    <w:rsid w:val="00F95BCD"/>
    <w:rsid w:val="00FA22BB"/>
    <w:rsid w:val="00FA256F"/>
    <w:rsid w:val="00FA3BE7"/>
    <w:rsid w:val="00FA7F13"/>
    <w:rsid w:val="00FB1395"/>
    <w:rsid w:val="00FB3D78"/>
    <w:rsid w:val="00FB73EE"/>
    <w:rsid w:val="00FC0059"/>
    <w:rsid w:val="00FC0C19"/>
    <w:rsid w:val="00FC4B0A"/>
    <w:rsid w:val="00FC5897"/>
    <w:rsid w:val="00FC6A53"/>
    <w:rsid w:val="00FD0760"/>
    <w:rsid w:val="00FD1BDB"/>
    <w:rsid w:val="00FD3042"/>
    <w:rsid w:val="00FD3D87"/>
    <w:rsid w:val="00FD46EE"/>
    <w:rsid w:val="00FD69EE"/>
    <w:rsid w:val="00FD7626"/>
    <w:rsid w:val="00FD7D68"/>
    <w:rsid w:val="00FE2E47"/>
    <w:rsid w:val="00FE7F55"/>
    <w:rsid w:val="00FF04EE"/>
    <w:rsid w:val="00FF0DC7"/>
    <w:rsid w:val="00FF556A"/>
    <w:rsid w:val="00FF648B"/>
    <w:rsid w:val="00FF7E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49CACD21"/>
  <w14:defaultImageDpi w14:val="96"/>
  <w15:docId w15:val="{6F523EC5-84FB-48F9-AB32-736A8A31D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69DB"/>
    <w:pPr>
      <w:widowControl w:val="0"/>
      <w:autoSpaceDE w:val="0"/>
      <w:autoSpaceDN w:val="0"/>
      <w:adjustRightInd w:val="0"/>
      <w:spacing w:after="0" w:line="480" w:lineRule="auto"/>
    </w:pPr>
    <w:rPr>
      <w:rFonts w:ascii="Times New Roman" w:hAnsi="Times New Roman" w:cs="Times New Roman"/>
      <w:sz w:val="24"/>
      <w:szCs w:val="24"/>
    </w:rPr>
  </w:style>
  <w:style w:type="paragraph" w:styleId="Heading1">
    <w:name w:val="heading 1"/>
    <w:basedOn w:val="Normal"/>
    <w:next w:val="Normal"/>
    <w:link w:val="Heading1Char"/>
    <w:qFormat/>
    <w:rsid w:val="00C12C13"/>
    <w:pPr>
      <w:keepNext/>
      <w:widowControl/>
      <w:numPr>
        <w:numId w:val="25"/>
      </w:numPr>
      <w:overflowPunct w:val="0"/>
      <w:textAlignment w:val="baseline"/>
      <w:outlineLvl w:val="0"/>
    </w:pPr>
    <w:rPr>
      <w:rFonts w:eastAsia="Times New Roman"/>
      <w:b/>
      <w:kern w:val="28"/>
      <w:szCs w:val="20"/>
    </w:rPr>
  </w:style>
  <w:style w:type="paragraph" w:styleId="Heading2">
    <w:name w:val="heading 2"/>
    <w:basedOn w:val="Normal"/>
    <w:next w:val="Normal"/>
    <w:link w:val="Heading2Char"/>
    <w:unhideWhenUsed/>
    <w:qFormat/>
    <w:rsid w:val="00BE3AD3"/>
    <w:pPr>
      <w:keepNext/>
      <w:keepLines/>
      <w:widowControl/>
      <w:numPr>
        <w:ilvl w:val="1"/>
        <w:numId w:val="25"/>
      </w:numPr>
      <w:autoSpaceDE/>
      <w:autoSpaceDN/>
      <w:adjustRightInd/>
      <w:outlineLvl w:val="1"/>
    </w:pPr>
    <w:rPr>
      <w:rFonts w:eastAsiaTheme="majorEastAsia" w:cstheme="majorBidi"/>
      <w:b/>
      <w:bCs/>
      <w:color w:val="000000" w:themeColor="text1"/>
      <w:szCs w:val="26"/>
    </w:rPr>
  </w:style>
  <w:style w:type="paragraph" w:styleId="Heading3">
    <w:name w:val="heading 3"/>
    <w:basedOn w:val="Normal"/>
    <w:next w:val="Normal"/>
    <w:link w:val="Heading3Char"/>
    <w:uiPriority w:val="9"/>
    <w:unhideWhenUsed/>
    <w:qFormat/>
    <w:rsid w:val="00C01585"/>
    <w:pPr>
      <w:keepNext/>
      <w:keepLines/>
      <w:numPr>
        <w:ilvl w:val="2"/>
        <w:numId w:val="25"/>
      </w:numPr>
      <w:outlineLvl w:val="2"/>
    </w:pPr>
    <w:rPr>
      <w:rFonts w:eastAsiaTheme="majorEastAsia" w:cstheme="majorBidi"/>
      <w:b/>
      <w:bCs/>
      <w:color w:val="4F81BD" w:themeColor="accent1"/>
    </w:rPr>
  </w:style>
  <w:style w:type="paragraph" w:styleId="Heading4">
    <w:name w:val="heading 4"/>
    <w:basedOn w:val="Normal"/>
    <w:next w:val="Normal"/>
    <w:link w:val="Heading4Char"/>
    <w:uiPriority w:val="9"/>
    <w:unhideWhenUsed/>
    <w:qFormat/>
    <w:rsid w:val="008B2E1C"/>
    <w:pPr>
      <w:keepNext/>
      <w:keepLines/>
      <w:numPr>
        <w:ilvl w:val="3"/>
        <w:numId w:val="25"/>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B2E1C"/>
    <w:pPr>
      <w:keepNext/>
      <w:keepLines/>
      <w:numPr>
        <w:ilvl w:val="4"/>
        <w:numId w:val="25"/>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8B2E1C"/>
    <w:pPr>
      <w:keepNext/>
      <w:keepLines/>
      <w:numPr>
        <w:ilvl w:val="5"/>
        <w:numId w:val="25"/>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8B2E1C"/>
    <w:pPr>
      <w:keepNext/>
      <w:keepLines/>
      <w:numPr>
        <w:ilvl w:val="6"/>
        <w:numId w:val="25"/>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8B2E1C"/>
    <w:pPr>
      <w:keepNext/>
      <w:keepLines/>
      <w:numPr>
        <w:ilvl w:val="7"/>
        <w:numId w:val="25"/>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8B2E1C"/>
    <w:pPr>
      <w:keepNext/>
      <w:keepLines/>
      <w:numPr>
        <w:ilvl w:val="8"/>
        <w:numId w:val="25"/>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qFormat/>
    <w:rsid w:val="00CA005A"/>
    <w:rPr>
      <w:rFonts w:ascii="Times New Roman" w:hAnsi="Times New Roman"/>
      <w:sz w:val="24"/>
      <w:vertAlign w:val="superscript"/>
    </w:rPr>
  </w:style>
  <w:style w:type="paragraph" w:customStyle="1" w:styleId="Level1">
    <w:name w:val="Level 1"/>
    <w:basedOn w:val="Normal"/>
    <w:pPr>
      <w:numPr>
        <w:numId w:val="13"/>
      </w:numPr>
      <w:ind w:left="720" w:hanging="720"/>
      <w:outlineLvl w:val="0"/>
    </w:pPr>
  </w:style>
  <w:style w:type="paragraph" w:customStyle="1" w:styleId="Level2">
    <w:name w:val="Level 2"/>
    <w:basedOn w:val="Normal"/>
    <w:uiPriority w:val="99"/>
    <w:pPr>
      <w:numPr>
        <w:ilvl w:val="1"/>
        <w:numId w:val="2"/>
      </w:numPr>
      <w:ind w:left="1440" w:hanging="720"/>
      <w:outlineLvl w:val="1"/>
    </w:pPr>
  </w:style>
  <w:style w:type="paragraph" w:styleId="BalloonText">
    <w:name w:val="Balloon Text"/>
    <w:basedOn w:val="Normal"/>
    <w:link w:val="BalloonTextChar"/>
    <w:uiPriority w:val="99"/>
    <w:semiHidden/>
    <w:unhideWhenUsed/>
    <w:rsid w:val="002E7350"/>
    <w:rPr>
      <w:rFonts w:ascii="Tahoma" w:hAnsi="Tahoma" w:cs="Tahoma"/>
      <w:sz w:val="16"/>
      <w:szCs w:val="16"/>
    </w:rPr>
  </w:style>
  <w:style w:type="character" w:customStyle="1" w:styleId="BalloonTextChar">
    <w:name w:val="Balloon Text Char"/>
    <w:basedOn w:val="DefaultParagraphFont"/>
    <w:link w:val="BalloonText"/>
    <w:uiPriority w:val="99"/>
    <w:semiHidden/>
    <w:rsid w:val="002E7350"/>
    <w:rPr>
      <w:rFonts w:ascii="Tahoma" w:hAnsi="Tahoma" w:cs="Tahoma"/>
      <w:sz w:val="16"/>
      <w:szCs w:val="16"/>
    </w:rPr>
  </w:style>
  <w:style w:type="character" w:styleId="PageNumber">
    <w:name w:val="page number"/>
    <w:basedOn w:val="DefaultParagraphFont"/>
    <w:rsid w:val="002E7350"/>
  </w:style>
  <w:style w:type="paragraph" w:customStyle="1" w:styleId="Default">
    <w:name w:val="Default"/>
    <w:rsid w:val="008C137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26266"/>
    <w:pPr>
      <w:tabs>
        <w:tab w:val="center" w:pos="4680"/>
        <w:tab w:val="right" w:pos="9360"/>
      </w:tabs>
    </w:pPr>
  </w:style>
  <w:style w:type="character" w:customStyle="1" w:styleId="HeaderChar">
    <w:name w:val="Header Char"/>
    <w:basedOn w:val="DefaultParagraphFont"/>
    <w:link w:val="Header"/>
    <w:uiPriority w:val="99"/>
    <w:rsid w:val="00326266"/>
    <w:rPr>
      <w:rFonts w:ascii="Times New Roman" w:hAnsi="Times New Roman" w:cs="Times New Roman"/>
      <w:sz w:val="24"/>
      <w:szCs w:val="24"/>
    </w:rPr>
  </w:style>
  <w:style w:type="paragraph" w:styleId="Footer">
    <w:name w:val="footer"/>
    <w:basedOn w:val="Normal"/>
    <w:link w:val="FooterChar"/>
    <w:uiPriority w:val="99"/>
    <w:unhideWhenUsed/>
    <w:rsid w:val="00326266"/>
    <w:pPr>
      <w:tabs>
        <w:tab w:val="center" w:pos="4680"/>
        <w:tab w:val="right" w:pos="9360"/>
      </w:tabs>
    </w:pPr>
  </w:style>
  <w:style w:type="character" w:customStyle="1" w:styleId="FooterChar">
    <w:name w:val="Footer Char"/>
    <w:basedOn w:val="DefaultParagraphFont"/>
    <w:link w:val="Footer"/>
    <w:uiPriority w:val="99"/>
    <w:rsid w:val="00326266"/>
    <w:rPr>
      <w:rFonts w:ascii="Times New Roman" w:hAnsi="Times New Roman" w:cs="Times New Roman"/>
      <w:sz w:val="24"/>
      <w:szCs w:val="24"/>
    </w:rPr>
  </w:style>
  <w:style w:type="paragraph" w:customStyle="1" w:styleId="Style12ptJustifiedLeft0Hanging05LinespacingD">
    <w:name w:val="Style 12 pt Justified Left:  0&quot; Hanging:  0.5&quot; Line spacing:  D..."/>
    <w:basedOn w:val="Normal"/>
    <w:rsid w:val="004322A4"/>
    <w:pPr>
      <w:widowControl/>
      <w:overflowPunct w:val="0"/>
      <w:ind w:left="720" w:hanging="720"/>
      <w:jc w:val="both"/>
      <w:textAlignment w:val="baseline"/>
    </w:pPr>
    <w:rPr>
      <w:rFonts w:eastAsia="Times New Roman"/>
      <w:szCs w:val="20"/>
    </w:rPr>
  </w:style>
  <w:style w:type="paragraph" w:styleId="ListParagraph">
    <w:name w:val="List Paragraph"/>
    <w:basedOn w:val="Normal"/>
    <w:uiPriority w:val="34"/>
    <w:qFormat/>
    <w:rsid w:val="004322A4"/>
    <w:pPr>
      <w:widowControl/>
      <w:autoSpaceDE/>
      <w:autoSpaceDN/>
      <w:adjustRightInd/>
      <w:ind w:left="720"/>
      <w:contextualSpacing/>
    </w:pPr>
    <w:rPr>
      <w:rFonts w:eastAsia="Times New Roman"/>
      <w:szCs w:val="20"/>
    </w:rPr>
  </w:style>
  <w:style w:type="character" w:customStyle="1" w:styleId="Heading1Char">
    <w:name w:val="Heading 1 Char"/>
    <w:basedOn w:val="DefaultParagraphFont"/>
    <w:link w:val="Heading1"/>
    <w:rsid w:val="00C12C13"/>
    <w:rPr>
      <w:rFonts w:ascii="Times New Roman" w:eastAsia="Times New Roman" w:hAnsi="Times New Roman" w:cs="Times New Roman"/>
      <w:b/>
      <w:kern w:val="28"/>
      <w:sz w:val="24"/>
      <w:szCs w:val="20"/>
    </w:rPr>
  </w:style>
  <w:style w:type="character" w:customStyle="1" w:styleId="Heading2Char">
    <w:name w:val="Heading 2 Char"/>
    <w:basedOn w:val="DefaultParagraphFont"/>
    <w:link w:val="Heading2"/>
    <w:rsid w:val="00BE3AD3"/>
    <w:rPr>
      <w:rFonts w:ascii="Times New Roman" w:eastAsiaTheme="majorEastAsia" w:hAnsi="Times New Roman" w:cstheme="majorBidi"/>
      <w:b/>
      <w:bCs/>
      <w:color w:val="000000" w:themeColor="text1"/>
      <w:sz w:val="24"/>
      <w:szCs w:val="26"/>
    </w:rPr>
  </w:style>
  <w:style w:type="paragraph" w:styleId="BodyText">
    <w:name w:val="Body Text"/>
    <w:link w:val="BodyTextChar"/>
    <w:qFormat/>
    <w:rsid w:val="00CD26E3"/>
    <w:pPr>
      <w:spacing w:after="120" w:line="240" w:lineRule="auto"/>
    </w:pPr>
    <w:rPr>
      <w:rFonts w:ascii="Georgia" w:eastAsiaTheme="minorHAnsi" w:hAnsi="Georgia"/>
      <w:sz w:val="24"/>
      <w:szCs w:val="24"/>
    </w:rPr>
  </w:style>
  <w:style w:type="character" w:customStyle="1" w:styleId="BodyTextChar">
    <w:name w:val="Body Text Char"/>
    <w:basedOn w:val="DefaultParagraphFont"/>
    <w:link w:val="BodyText"/>
    <w:rsid w:val="00CD26E3"/>
    <w:rPr>
      <w:rFonts w:ascii="Georgia" w:eastAsiaTheme="minorHAnsi" w:hAnsi="Georgia"/>
      <w:sz w:val="24"/>
      <w:szCs w:val="24"/>
    </w:rPr>
  </w:style>
  <w:style w:type="table" w:styleId="TableGrid">
    <w:name w:val="Table Grid"/>
    <w:basedOn w:val="TableNormal"/>
    <w:uiPriority w:val="39"/>
    <w:rsid w:val="00CD26E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edList">
    <w:name w:val="Bulleted List"/>
    <w:basedOn w:val="BodyText"/>
    <w:uiPriority w:val="99"/>
    <w:rsid w:val="00CD26E3"/>
    <w:pPr>
      <w:numPr>
        <w:numId w:val="15"/>
      </w:numPr>
      <w:tabs>
        <w:tab w:val="clear" w:pos="360"/>
      </w:tabs>
      <w:spacing w:before="60" w:after="60" w:line="220" w:lineRule="atLeast"/>
      <w:jc w:val="both"/>
    </w:pPr>
    <w:rPr>
      <w:rFonts w:ascii="Arial" w:eastAsia="Times New Roman" w:hAnsi="Arial" w:cs="Arial"/>
      <w:spacing w:val="-5"/>
      <w:sz w:val="20"/>
      <w:szCs w:val="20"/>
    </w:rPr>
  </w:style>
  <w:style w:type="paragraph" w:customStyle="1" w:styleId="ContactInfo">
    <w:name w:val="Contact Info"/>
    <w:basedOn w:val="Normal"/>
    <w:next w:val="BodyText"/>
    <w:uiPriority w:val="99"/>
    <w:rsid w:val="00CD26E3"/>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CD26E3"/>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CD26E3"/>
    <w:rPr>
      <w:rFonts w:ascii="Arial Black" w:eastAsia="Times New Roman" w:hAnsi="Arial Black" w:cs="Arial Black"/>
      <w:sz w:val="28"/>
      <w:szCs w:val="28"/>
    </w:rPr>
  </w:style>
  <w:style w:type="character" w:styleId="LineNumber">
    <w:name w:val="line number"/>
    <w:basedOn w:val="DefaultParagraphFont"/>
    <w:uiPriority w:val="99"/>
    <w:semiHidden/>
    <w:unhideWhenUsed/>
    <w:rsid w:val="00CD26E3"/>
  </w:style>
  <w:style w:type="character" w:styleId="CommentReference">
    <w:name w:val="annotation reference"/>
    <w:basedOn w:val="DefaultParagraphFont"/>
    <w:uiPriority w:val="99"/>
    <w:semiHidden/>
    <w:unhideWhenUsed/>
    <w:rsid w:val="00754C22"/>
    <w:rPr>
      <w:sz w:val="16"/>
      <w:szCs w:val="16"/>
    </w:rPr>
  </w:style>
  <w:style w:type="paragraph" w:styleId="CommentText">
    <w:name w:val="annotation text"/>
    <w:basedOn w:val="Normal"/>
    <w:link w:val="CommentTextChar"/>
    <w:uiPriority w:val="99"/>
    <w:semiHidden/>
    <w:unhideWhenUsed/>
    <w:rsid w:val="00754C22"/>
    <w:rPr>
      <w:sz w:val="20"/>
      <w:szCs w:val="20"/>
    </w:rPr>
  </w:style>
  <w:style w:type="character" w:customStyle="1" w:styleId="CommentTextChar">
    <w:name w:val="Comment Text Char"/>
    <w:basedOn w:val="DefaultParagraphFont"/>
    <w:link w:val="CommentText"/>
    <w:uiPriority w:val="99"/>
    <w:semiHidden/>
    <w:rsid w:val="00754C22"/>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54C22"/>
    <w:rPr>
      <w:b/>
      <w:bCs/>
    </w:rPr>
  </w:style>
  <w:style w:type="character" w:customStyle="1" w:styleId="CommentSubjectChar">
    <w:name w:val="Comment Subject Char"/>
    <w:basedOn w:val="CommentTextChar"/>
    <w:link w:val="CommentSubject"/>
    <w:uiPriority w:val="99"/>
    <w:semiHidden/>
    <w:rsid w:val="00754C22"/>
    <w:rPr>
      <w:rFonts w:ascii="Times New Roman" w:hAnsi="Times New Roman" w:cs="Times New Roman"/>
      <w:b/>
      <w:bCs/>
      <w:sz w:val="20"/>
      <w:szCs w:val="20"/>
    </w:rPr>
  </w:style>
  <w:style w:type="paragraph" w:styleId="TOCHeading">
    <w:name w:val="TOC Heading"/>
    <w:basedOn w:val="Heading1"/>
    <w:next w:val="Normal"/>
    <w:uiPriority w:val="39"/>
    <w:unhideWhenUsed/>
    <w:qFormat/>
    <w:rsid w:val="005B29FB"/>
    <w:pPr>
      <w:keepLines/>
      <w:overflowPunct/>
      <w:autoSpaceDE/>
      <w:autoSpaceDN/>
      <w:adjustRightInd/>
      <w:spacing w:before="480" w:line="276" w:lineRule="auto"/>
      <w:textAlignment w:val="auto"/>
      <w:outlineLvl w:val="9"/>
    </w:pPr>
    <w:rPr>
      <w:rFonts w:asciiTheme="majorHAnsi" w:eastAsiaTheme="majorEastAsia" w:hAnsiTheme="majorHAnsi" w:cstheme="majorBidi"/>
      <w:bCs/>
      <w:color w:val="365F91" w:themeColor="accent1" w:themeShade="BF"/>
      <w:kern w:val="0"/>
      <w:sz w:val="28"/>
      <w:szCs w:val="28"/>
      <w:lang w:eastAsia="ja-JP"/>
    </w:rPr>
  </w:style>
  <w:style w:type="paragraph" w:styleId="TOC1">
    <w:name w:val="toc 1"/>
    <w:basedOn w:val="Normal"/>
    <w:next w:val="Normal"/>
    <w:autoRedefine/>
    <w:uiPriority w:val="39"/>
    <w:unhideWhenUsed/>
    <w:rsid w:val="00DD252A"/>
    <w:pPr>
      <w:suppressLineNumbers/>
      <w:tabs>
        <w:tab w:val="left" w:pos="720"/>
        <w:tab w:val="right" w:leader="dot" w:pos="9530"/>
      </w:tabs>
      <w:spacing w:after="100" w:line="240" w:lineRule="auto"/>
    </w:pPr>
  </w:style>
  <w:style w:type="paragraph" w:styleId="TOC2">
    <w:name w:val="toc 2"/>
    <w:basedOn w:val="Normal"/>
    <w:next w:val="Normal"/>
    <w:autoRedefine/>
    <w:uiPriority w:val="39"/>
    <w:unhideWhenUsed/>
    <w:rsid w:val="0043384F"/>
    <w:pPr>
      <w:suppressLineNumbers/>
      <w:tabs>
        <w:tab w:val="left" w:pos="1440"/>
        <w:tab w:val="right" w:leader="dot" w:pos="9540"/>
      </w:tabs>
      <w:spacing w:after="100" w:line="240" w:lineRule="auto"/>
      <w:ind w:left="720"/>
    </w:pPr>
  </w:style>
  <w:style w:type="character" w:styleId="Hyperlink">
    <w:name w:val="Hyperlink"/>
    <w:basedOn w:val="DefaultParagraphFont"/>
    <w:uiPriority w:val="99"/>
    <w:unhideWhenUsed/>
    <w:rsid w:val="005B29FB"/>
    <w:rPr>
      <w:color w:val="0000FF" w:themeColor="hyperlink"/>
      <w:u w:val="single"/>
    </w:rPr>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link w:val="FootnoteTextChar"/>
    <w:unhideWhenUsed/>
    <w:qFormat/>
    <w:rsid w:val="00B74AA3"/>
    <w:pPr>
      <w:spacing w:line="240" w:lineRule="auto"/>
      <w:contextualSpacing/>
    </w:pPr>
    <w:rPr>
      <w:rFonts w:ascii="Times New Roman" w:hAnsi="Times New Roman" w:cs="Times New Roman"/>
      <w:sz w:val="20"/>
      <w:szCs w:val="20"/>
    </w:r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basedOn w:val="DefaultParagraphFont"/>
    <w:link w:val="FootnoteText"/>
    <w:rsid w:val="00B74AA3"/>
    <w:rPr>
      <w:rFonts w:ascii="Times New Roman" w:hAnsi="Times New Roman" w:cs="Times New Roman"/>
      <w:sz w:val="20"/>
      <w:szCs w:val="20"/>
    </w:rPr>
  </w:style>
  <w:style w:type="character" w:customStyle="1" w:styleId="Heading3Char">
    <w:name w:val="Heading 3 Char"/>
    <w:basedOn w:val="DefaultParagraphFont"/>
    <w:link w:val="Heading3"/>
    <w:uiPriority w:val="9"/>
    <w:rsid w:val="00C01585"/>
    <w:rPr>
      <w:rFonts w:ascii="Times New Roman" w:eastAsiaTheme="majorEastAsia" w:hAnsi="Times New Roman" w:cstheme="majorBidi"/>
      <w:b/>
      <w:bCs/>
      <w:color w:val="4F81BD" w:themeColor="accent1"/>
      <w:sz w:val="24"/>
      <w:szCs w:val="24"/>
    </w:rPr>
  </w:style>
  <w:style w:type="character" w:customStyle="1" w:styleId="Heading4Char">
    <w:name w:val="Heading 4 Char"/>
    <w:basedOn w:val="DefaultParagraphFont"/>
    <w:link w:val="Heading4"/>
    <w:uiPriority w:val="9"/>
    <w:rsid w:val="008B2E1C"/>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uiPriority w:val="9"/>
    <w:rsid w:val="008B2E1C"/>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uiPriority w:val="9"/>
    <w:semiHidden/>
    <w:rsid w:val="008B2E1C"/>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uiPriority w:val="9"/>
    <w:semiHidden/>
    <w:rsid w:val="008B2E1C"/>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uiPriority w:val="9"/>
    <w:semiHidden/>
    <w:rsid w:val="008B2E1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8B2E1C"/>
    <w:rPr>
      <w:rFonts w:asciiTheme="majorHAnsi" w:eastAsiaTheme="majorEastAsia" w:hAnsiTheme="majorHAnsi" w:cstheme="majorBidi"/>
      <w:i/>
      <w:iCs/>
      <w:color w:val="404040" w:themeColor="text1" w:themeTint="BF"/>
      <w:sz w:val="20"/>
      <w:szCs w:val="20"/>
    </w:rPr>
  </w:style>
  <w:style w:type="paragraph" w:styleId="NormalWeb">
    <w:name w:val="Normal (Web)"/>
    <w:basedOn w:val="Normal"/>
    <w:semiHidden/>
    <w:unhideWhenUsed/>
    <w:rsid w:val="00B133CF"/>
    <w:pPr>
      <w:widowControl/>
      <w:autoSpaceDE/>
      <w:autoSpaceDN/>
      <w:adjustRightInd/>
      <w:spacing w:line="240" w:lineRule="auto"/>
    </w:pPr>
    <w:rPr>
      <w:rFonts w:eastAsia="Times New Roman"/>
    </w:rPr>
  </w:style>
  <w:style w:type="character" w:styleId="FollowedHyperlink">
    <w:name w:val="FollowedHyperlink"/>
    <w:basedOn w:val="DefaultParagraphFont"/>
    <w:uiPriority w:val="99"/>
    <w:semiHidden/>
    <w:unhideWhenUsed/>
    <w:rsid w:val="007D1026"/>
    <w:rPr>
      <w:color w:val="800080" w:themeColor="followedHyperlink"/>
      <w:u w:val="single"/>
    </w:rPr>
  </w:style>
  <w:style w:type="paragraph" w:styleId="Revision">
    <w:name w:val="Revision"/>
    <w:hidden/>
    <w:uiPriority w:val="99"/>
    <w:semiHidden/>
    <w:rsid w:val="00EA06E0"/>
    <w:pPr>
      <w:spacing w:after="0" w:line="240" w:lineRule="auto"/>
    </w:pPr>
    <w:rPr>
      <w:rFonts w:ascii="Times New Roman" w:hAnsi="Times New Roman" w:cs="Times New Roman"/>
      <w:sz w:val="24"/>
      <w:szCs w:val="24"/>
    </w:rPr>
  </w:style>
  <w:style w:type="paragraph" w:styleId="BodyTextIndent2">
    <w:name w:val="Body Text Indent 2"/>
    <w:basedOn w:val="Normal"/>
    <w:link w:val="BodyTextIndent2Char"/>
    <w:uiPriority w:val="99"/>
    <w:semiHidden/>
    <w:unhideWhenUsed/>
    <w:rsid w:val="00376209"/>
    <w:pPr>
      <w:spacing w:after="120"/>
      <w:ind w:left="360"/>
    </w:pPr>
  </w:style>
  <w:style w:type="character" w:customStyle="1" w:styleId="BodyTextIndent2Char">
    <w:name w:val="Body Text Indent 2 Char"/>
    <w:basedOn w:val="DefaultParagraphFont"/>
    <w:link w:val="BodyTextIndent2"/>
    <w:uiPriority w:val="99"/>
    <w:semiHidden/>
    <w:rsid w:val="00376209"/>
    <w:rPr>
      <w:rFonts w:ascii="Times New Roman" w:hAnsi="Times New Roman" w:cs="Times New Roman"/>
      <w:sz w:val="24"/>
      <w:szCs w:val="24"/>
    </w:rPr>
  </w:style>
  <w:style w:type="paragraph" w:customStyle="1" w:styleId="answer">
    <w:name w:val="answer"/>
    <w:basedOn w:val="BodyTextIndent"/>
    <w:link w:val="answerChar"/>
    <w:rsid w:val="00231264"/>
    <w:pPr>
      <w:widowControl/>
      <w:tabs>
        <w:tab w:val="num" w:pos="-3420"/>
        <w:tab w:val="left" w:pos="-3330"/>
        <w:tab w:val="num" w:pos="360"/>
      </w:tabs>
      <w:autoSpaceDE/>
      <w:autoSpaceDN/>
      <w:adjustRightInd/>
      <w:spacing w:after="240"/>
      <w:ind w:left="720" w:right="360" w:hanging="720"/>
      <w:jc w:val="both"/>
    </w:pPr>
    <w:rPr>
      <w:rFonts w:eastAsia="Times New Roman"/>
    </w:rPr>
  </w:style>
  <w:style w:type="character" w:customStyle="1" w:styleId="answerChar">
    <w:name w:val="answer Char"/>
    <w:link w:val="answer"/>
    <w:rsid w:val="00231264"/>
    <w:rPr>
      <w:rFonts w:ascii="Times New Roman" w:eastAsia="Times New Roman" w:hAnsi="Times New Roman" w:cs="Times New Roman"/>
      <w:sz w:val="24"/>
      <w:szCs w:val="24"/>
    </w:rPr>
  </w:style>
  <w:style w:type="paragraph" w:customStyle="1" w:styleId="question">
    <w:name w:val="question"/>
    <w:basedOn w:val="Normal"/>
    <w:link w:val="questionChar"/>
    <w:rsid w:val="00231264"/>
    <w:pPr>
      <w:keepNext/>
      <w:keepLines/>
      <w:widowControl/>
      <w:tabs>
        <w:tab w:val="left" w:pos="720"/>
      </w:tabs>
      <w:autoSpaceDE/>
      <w:autoSpaceDN/>
      <w:adjustRightInd/>
      <w:ind w:left="720" w:hanging="720"/>
      <w:jc w:val="both"/>
    </w:pPr>
    <w:rPr>
      <w:rFonts w:eastAsia="Times New Roman"/>
      <w:b/>
    </w:rPr>
  </w:style>
  <w:style w:type="character" w:customStyle="1" w:styleId="questionChar">
    <w:name w:val="question Char"/>
    <w:link w:val="question"/>
    <w:rsid w:val="00231264"/>
    <w:rPr>
      <w:rFonts w:ascii="Times New Roman" w:eastAsia="Times New Roman" w:hAnsi="Times New Roman" w:cs="Times New Roman"/>
      <w:b/>
      <w:sz w:val="24"/>
      <w:szCs w:val="24"/>
    </w:rPr>
  </w:style>
  <w:style w:type="paragraph" w:styleId="BodyTextIndent">
    <w:name w:val="Body Text Indent"/>
    <w:basedOn w:val="Normal"/>
    <w:link w:val="BodyTextIndentChar"/>
    <w:uiPriority w:val="99"/>
    <w:semiHidden/>
    <w:unhideWhenUsed/>
    <w:rsid w:val="00231264"/>
    <w:pPr>
      <w:spacing w:after="120"/>
      <w:ind w:left="360"/>
    </w:pPr>
  </w:style>
  <w:style w:type="character" w:customStyle="1" w:styleId="BodyTextIndentChar">
    <w:name w:val="Body Text Indent Char"/>
    <w:basedOn w:val="DefaultParagraphFont"/>
    <w:link w:val="BodyTextIndent"/>
    <w:uiPriority w:val="99"/>
    <w:semiHidden/>
    <w:rsid w:val="00231264"/>
    <w:rPr>
      <w:rFonts w:ascii="Times New Roman" w:hAnsi="Times New Roman" w:cs="Times New Roman"/>
      <w:sz w:val="24"/>
      <w:szCs w:val="24"/>
    </w:rPr>
  </w:style>
  <w:style w:type="paragraph" w:customStyle="1" w:styleId="additionalparagraph">
    <w:name w:val="additional paragraph"/>
    <w:basedOn w:val="answer"/>
    <w:rsid w:val="007955E7"/>
    <w:pPr>
      <w:tabs>
        <w:tab w:val="clear" w:pos="-3420"/>
      </w:tabs>
      <w:spacing w:after="0"/>
      <w:ind w:firstLine="720"/>
    </w:pPr>
  </w:style>
  <w:style w:type="paragraph" w:customStyle="1" w:styleId="FOFCOL">
    <w:name w:val="FOF/COL"/>
    <w:basedOn w:val="BodyText"/>
    <w:rsid w:val="007B7FDB"/>
    <w:pPr>
      <w:spacing w:before="120" w:after="0" w:line="360" w:lineRule="auto"/>
      <w:ind w:left="720" w:hanging="720"/>
      <w:jc w:val="both"/>
    </w:pPr>
    <w:rPr>
      <w:rFonts w:ascii="Times New Roman" w:eastAsia="Times New Roman" w:hAnsi="Times New Roman" w:cs="Times New Roman"/>
      <w:snapToGrid w:val="0"/>
      <w:szCs w:val="20"/>
    </w:rPr>
  </w:style>
  <w:style w:type="paragraph" w:styleId="PlainText">
    <w:name w:val="Plain Text"/>
    <w:basedOn w:val="Normal"/>
    <w:link w:val="PlainTextChar"/>
    <w:uiPriority w:val="99"/>
    <w:rsid w:val="00CA2582"/>
    <w:pPr>
      <w:widowControl/>
      <w:autoSpaceDE/>
      <w:autoSpaceDN/>
      <w:adjustRightInd/>
      <w:spacing w:line="240" w:lineRule="auto"/>
    </w:pPr>
    <w:rPr>
      <w:rFonts w:ascii="Courier New" w:eastAsia="Times New Roman" w:hAnsi="Courier New"/>
      <w:sz w:val="20"/>
      <w:szCs w:val="20"/>
    </w:rPr>
  </w:style>
  <w:style w:type="character" w:customStyle="1" w:styleId="PlainTextChar">
    <w:name w:val="Plain Text Char"/>
    <w:basedOn w:val="DefaultParagraphFont"/>
    <w:link w:val="PlainText"/>
    <w:uiPriority w:val="99"/>
    <w:rsid w:val="00CA2582"/>
    <w:rPr>
      <w:rFonts w:ascii="Courier New" w:eastAsia="Times New Roman" w:hAnsi="Courier New"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770494">
      <w:bodyDiv w:val="1"/>
      <w:marLeft w:val="0"/>
      <w:marRight w:val="0"/>
      <w:marTop w:val="0"/>
      <w:marBottom w:val="0"/>
      <w:divBdr>
        <w:top w:val="none" w:sz="0" w:space="0" w:color="auto"/>
        <w:left w:val="none" w:sz="0" w:space="0" w:color="auto"/>
        <w:bottom w:val="none" w:sz="0" w:space="0" w:color="auto"/>
        <w:right w:val="none" w:sz="0" w:space="0" w:color="auto"/>
      </w:divBdr>
    </w:div>
    <w:div w:id="317854303">
      <w:bodyDiv w:val="1"/>
      <w:marLeft w:val="0"/>
      <w:marRight w:val="0"/>
      <w:marTop w:val="0"/>
      <w:marBottom w:val="0"/>
      <w:divBdr>
        <w:top w:val="none" w:sz="0" w:space="0" w:color="auto"/>
        <w:left w:val="none" w:sz="0" w:space="0" w:color="auto"/>
        <w:bottom w:val="none" w:sz="0" w:space="0" w:color="auto"/>
        <w:right w:val="none" w:sz="0" w:space="0" w:color="auto"/>
      </w:divBdr>
    </w:div>
    <w:div w:id="517932007">
      <w:bodyDiv w:val="1"/>
      <w:marLeft w:val="0"/>
      <w:marRight w:val="0"/>
      <w:marTop w:val="0"/>
      <w:marBottom w:val="0"/>
      <w:divBdr>
        <w:top w:val="none" w:sz="0" w:space="0" w:color="auto"/>
        <w:left w:val="none" w:sz="0" w:space="0" w:color="auto"/>
        <w:bottom w:val="none" w:sz="0" w:space="0" w:color="auto"/>
        <w:right w:val="none" w:sz="0" w:space="0" w:color="auto"/>
      </w:divBdr>
    </w:div>
    <w:div w:id="1122113657">
      <w:bodyDiv w:val="1"/>
      <w:marLeft w:val="0"/>
      <w:marRight w:val="0"/>
      <w:marTop w:val="0"/>
      <w:marBottom w:val="0"/>
      <w:divBdr>
        <w:top w:val="none" w:sz="0" w:space="0" w:color="auto"/>
        <w:left w:val="none" w:sz="0" w:space="0" w:color="auto"/>
        <w:bottom w:val="none" w:sz="0" w:space="0" w:color="auto"/>
        <w:right w:val="none" w:sz="0" w:space="0" w:color="auto"/>
      </w:divBdr>
    </w:div>
    <w:div w:id="1407073318">
      <w:bodyDiv w:val="1"/>
      <w:marLeft w:val="0"/>
      <w:marRight w:val="0"/>
      <w:marTop w:val="0"/>
      <w:marBottom w:val="0"/>
      <w:divBdr>
        <w:top w:val="none" w:sz="0" w:space="0" w:color="auto"/>
        <w:left w:val="none" w:sz="0" w:space="0" w:color="auto"/>
        <w:bottom w:val="none" w:sz="0" w:space="0" w:color="auto"/>
        <w:right w:val="none" w:sz="0" w:space="0" w:color="auto"/>
      </w:divBdr>
    </w:div>
    <w:div w:id="1707559867">
      <w:bodyDiv w:val="1"/>
      <w:marLeft w:val="0"/>
      <w:marRight w:val="0"/>
      <w:marTop w:val="0"/>
      <w:marBottom w:val="0"/>
      <w:divBdr>
        <w:top w:val="none" w:sz="0" w:space="0" w:color="auto"/>
        <w:left w:val="none" w:sz="0" w:space="0" w:color="auto"/>
        <w:bottom w:val="none" w:sz="0" w:space="0" w:color="auto"/>
        <w:right w:val="none" w:sz="0" w:space="0" w:color="auto"/>
      </w:divBdr>
    </w:div>
    <w:div w:id="1819882843">
      <w:bodyDiv w:val="1"/>
      <w:marLeft w:val="0"/>
      <w:marRight w:val="0"/>
      <w:marTop w:val="0"/>
      <w:marBottom w:val="0"/>
      <w:divBdr>
        <w:top w:val="none" w:sz="0" w:space="0" w:color="auto"/>
        <w:left w:val="none" w:sz="0" w:space="0" w:color="auto"/>
        <w:bottom w:val="none" w:sz="0" w:space="0" w:color="auto"/>
        <w:right w:val="none" w:sz="0" w:space="0" w:color="auto"/>
      </w:divBdr>
    </w:div>
    <w:div w:id="1882087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26878B-C9B5-4330-950F-282E79DD3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5555</Words>
  <Characters>31664</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TCEQ</Company>
  <LinksUpToDate>false</LinksUpToDate>
  <CharactersWithSpaces>37145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Graham, Heidi</dc:creator>
  <cp:keywords/>
  <dc:description/>
  <cp:lastModifiedBy>Asher, Rashmin</cp:lastModifiedBy>
  <cp:revision>4</cp:revision>
  <cp:lastPrinted>2019-09-09T22:15:00Z</cp:lastPrinted>
  <dcterms:created xsi:type="dcterms:W3CDTF">2020-10-27T14:58:00Z</dcterms:created>
  <dcterms:modified xsi:type="dcterms:W3CDTF">2020-10-27T15:56:00Z</dcterms:modified>
</cp:coreProperties>
</file>